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08" w:rsidRPr="00DC1F6B" w:rsidRDefault="007C2208" w:rsidP="007C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Ключевая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ставка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ЦБ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</w:p>
    <w:p w:rsidR="007C2208" w:rsidRPr="00DC1F6B" w:rsidRDefault="007C2208" w:rsidP="007C2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ключевую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6,5%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26.07.2021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(Информационное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23.07.2021).</w:t>
      </w:r>
    </w:p>
    <w:p w:rsidR="007C2208" w:rsidRPr="00DC1F6B" w:rsidRDefault="007C2208" w:rsidP="002B5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E6C" w:rsidRPr="00DC1F6B" w:rsidRDefault="002B5E6C" w:rsidP="002B5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НДС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фактуры,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02.04.21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534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корректировочного),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счетов-фактур,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покупок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поправок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товаров.</w:t>
      </w:r>
    </w:p>
    <w:p w:rsidR="002B5E6C" w:rsidRPr="00DC1F6B" w:rsidRDefault="002B5E6C" w:rsidP="00A1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F6B" w:rsidRDefault="00A13D3E" w:rsidP="00A1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Прослеживаемость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товаров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стала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обязательной: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13D3E" w:rsidRPr="00DC1F6B" w:rsidRDefault="00A13D3E" w:rsidP="00A13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новая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отчетность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оформления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</w:t>
      </w:r>
    </w:p>
    <w:p w:rsidR="00A13D3E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перешла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продукцией,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счетах-фактурах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01.07.21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1110;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1108.</w:t>
      </w:r>
    </w:p>
    <w:p w:rsidR="00A13D3E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счетах-фактурах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(УПД)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(ЭДО).</w:t>
      </w:r>
    </w:p>
    <w:p w:rsidR="00A13D3E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ИФНС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товаром.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июля;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подпадающих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5E6C" w:rsidRPr="00DC1F6B" w:rsidRDefault="00330FF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прослеживаемых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2B5E6C" w:rsidRPr="00DC1F6B" w:rsidRDefault="00330FF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2B5E6C" w:rsidRPr="00DC1F6B" w:rsidRDefault="00330FF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комитента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комиссионеру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реализацию,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комиссионером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комитента;</w:t>
      </w:r>
    </w:p>
    <w:p w:rsidR="002B5E6C" w:rsidRPr="00DC1F6B" w:rsidRDefault="00330FF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</w:p>
    <w:p w:rsidR="002B5E6C" w:rsidRPr="00DC1F6B" w:rsidRDefault="00330FF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товарных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остатков,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образовались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продукции,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1110).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недостача,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излишков,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прослеживаемость</w:t>
      </w:r>
      <w:proofErr w:type="spellEnd"/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прекратилась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(письмо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ЕА-4-15/9015@).</w:t>
      </w:r>
    </w:p>
    <w:p w:rsidR="00A13D3E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В-седьмых,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реализацией: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уставный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Реквизиты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ИФНС.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2B5E6C" w:rsidRPr="00DC1F6B" w:rsidRDefault="005F750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егистрационный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импортеры,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налоговики).</w:t>
      </w:r>
    </w:p>
    <w:p w:rsidR="002B5E6C" w:rsidRPr="00DC1F6B" w:rsidRDefault="005F750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оличественная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1110.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своя.</w:t>
      </w:r>
    </w:p>
    <w:p w:rsidR="002B5E6C" w:rsidRPr="00DC1F6B" w:rsidRDefault="005F750D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6C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измерения).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прослеживаемости: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счетах-фактурах,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ИФНС.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корректировочного),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продавцов,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(ТКС).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корректировочные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РФ).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оговорено,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шифровать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счета-фактуры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нельзя.</w:t>
      </w:r>
    </w:p>
    <w:p w:rsidR="002B5E6C" w:rsidRPr="00DC1F6B" w:rsidRDefault="002B5E6C" w:rsidP="002B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счете-фактуре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бумаге.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26.12.11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1137).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отгружают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прослеживаемый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плательщиками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(применяют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«упрощенку»,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ПСН).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документооборота.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28.05.21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ЕА-4-15/</w:t>
      </w:r>
      <w:proofErr w:type="gramStart"/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7407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счетами-фактурами,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Минфина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10.11.15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0FFD"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sz w:val="24"/>
          <w:szCs w:val="24"/>
          <w:lang w:eastAsia="ru-RU"/>
        </w:rPr>
        <w:t>174н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исключений,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«бумажный»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УПД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входит: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нужд;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плательщикам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профдоход</w:t>
      </w:r>
      <w:proofErr w:type="spellEnd"/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границу;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ЕАЭС.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Если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течение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квартала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организации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ИП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были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операции,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подлежащие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прослеживаемости,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нужно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специальный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отчет.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Срок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сдачи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отчета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—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25-е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число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месяца,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следующего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истекшим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отчетным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периодом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(кварталом).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Направить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только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через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оператора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ЭДО,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подписав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усиленной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квалифицированной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электронной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подписью.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Впервые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отчитаться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нужно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позднее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25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октября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(если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июле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—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сентябре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были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операции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прослеживаемым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товаром).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Если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сданном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отчете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обнаружится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ошибка,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необходимо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позднее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следующего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рабочего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дня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направить</w:t>
      </w:r>
      <w:r w:rsidR="00330FFD" w:rsidRPr="00DC1F6B">
        <w:rPr>
          <w:rFonts w:ascii="PT Serif" w:hAnsi="PT Serif"/>
          <w:color w:val="000000"/>
          <w:sz w:val="24"/>
          <w:szCs w:val="24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</w:rPr>
        <w:t>корректировку.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должна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утвердить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формат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порядок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заполнения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отчета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августа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этого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использовать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рекомендуемые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формы,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приведены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письме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14.04.21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ЕА-4-15/5042</w:t>
      </w:r>
      <w:proofErr w:type="gramStart"/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@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.</w:t>
      </w:r>
      <w:proofErr w:type="gramEnd"/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Уведомления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импорте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экспорте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ЕАЭС.</w:t>
      </w:r>
      <w:r w:rsidR="00330FFD" w:rsidRPr="00DC1F6B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Организации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предприниматели,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ввезли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Россию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стран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—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участниц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ЕАЭС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товары,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обязаны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направить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соответствующее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уведомление.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Срок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—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позднее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lastRenderedPageBreak/>
        <w:t>5-ти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рабочих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дней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принятия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такой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продукции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учет.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следующий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календарный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день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после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получения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документа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налоговики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присвоят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регистрационный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номер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партии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товара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сообщат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импортеру.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Аналогичная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обязанность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есть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экспортеров,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вывозящих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прослеживаемую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продукцию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страны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ЕАЭС.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Они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тоже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должны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соответствующее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течение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5-ти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рабочих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дней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отгрузки.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Сдать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только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интернету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через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оператора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ЭДО,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подписав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усиленной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квалифицированной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электронной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подписью.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должна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утвердить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формат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порядок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заполнения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августа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этого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налоговики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рекомендуют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использовать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формы,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приведенные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письме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ЕА-4-15/5042@.</w:t>
      </w:r>
    </w:p>
    <w:p w:rsidR="005F750D" w:rsidRPr="00DC1F6B" w:rsidRDefault="005F750D" w:rsidP="005F750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товарных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остатках.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Юр</w:t>
      </w:r>
      <w:r w:rsid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идические лица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ИП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обязаны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остатках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товаров,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образовались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дату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вступления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силу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перечня,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утвержденного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постановлением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1110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8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июля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года).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остатками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следует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понимать,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числе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прочего,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основные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средства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малоценное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имущество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(письмо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28.06.21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ЕА-4-15/9015@).</w:t>
      </w:r>
    </w:p>
    <w:p w:rsidR="004C515C" w:rsidRPr="00DC1F6B" w:rsidRDefault="004C515C" w:rsidP="004C515C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Срок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подачи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остатках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—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позднее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дня,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когда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остатки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будут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реализованы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числе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безвозмездно),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переданы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комиссионеру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реализацию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экспортированы.</w:t>
      </w:r>
    </w:p>
    <w:p w:rsidR="004C515C" w:rsidRPr="00DC1F6B" w:rsidRDefault="004C515C" w:rsidP="004C515C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письме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09.07.21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ЕА-4-15/9627@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приводит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расширенный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перечень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ситуаций,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когда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нужно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сдавать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уведомление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остатках.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</w:p>
    <w:p w:rsidR="00A13D3E" w:rsidRPr="00DC1F6B" w:rsidRDefault="004C515C" w:rsidP="004C515C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Ответственность</w:t>
      </w:r>
      <w:r w:rsidR="00330FFD"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за</w:t>
      </w:r>
      <w:r w:rsidR="00330FFD"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нарушения,</w:t>
      </w:r>
      <w:r w:rsidR="00330FFD"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связанные</w:t>
      </w:r>
      <w:r w:rsidR="00330FFD"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с</w:t>
      </w:r>
      <w:r w:rsidR="00330FFD"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прослеживаемостью</w:t>
      </w:r>
      <w:proofErr w:type="spellEnd"/>
      <w:r w:rsidRPr="00103D91">
        <w:rPr>
          <w:rFonts w:ascii="PT Serif" w:hAnsi="PT Serif"/>
          <w:b/>
          <w:color w:val="000000"/>
          <w:sz w:val="24"/>
          <w:szCs w:val="24"/>
          <w:shd w:val="clear" w:color="auto" w:fill="FFFFFF"/>
        </w:rPr>
        <w:t>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письме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30.06.</w:t>
      </w:r>
      <w:r w:rsid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20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ЕА-4-15/9208@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сообщила,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что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системы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прослеживаемости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товаров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есть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переходный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период.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составляет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менее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этот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промежуток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времени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никакие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меры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ответственности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нарушителям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применять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будут.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сегодняшний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день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такие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меры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установлены.</w:t>
      </w:r>
    </w:p>
    <w:p w:rsidR="00A13D3E" w:rsidRPr="00DC1F6B" w:rsidRDefault="00A13D3E" w:rsidP="0054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EFD" w:rsidRPr="00DC1F6B" w:rsidRDefault="00C91EFD" w:rsidP="00C91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книжки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1EFD" w:rsidRPr="00DC1F6B" w:rsidRDefault="00C91EFD" w:rsidP="009F21E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сентября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вступит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силу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приказ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Минтруда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19.05.21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320н,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утверждена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новая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трудовой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книжки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.</w:t>
      </w:r>
    </w:p>
    <w:p w:rsidR="00103D91" w:rsidRDefault="009F21EA" w:rsidP="009F21E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</w:t>
      </w:r>
      <w:r w:rsid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3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Постановления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Правительства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РФ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24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июля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2021г.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1250</w:t>
      </w:r>
      <w:r w:rsid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:</w:t>
      </w:r>
    </w:p>
    <w:p w:rsidR="00103D91" w:rsidRDefault="00103D91" w:rsidP="009F21E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>
        <w:rPr>
          <w:rFonts w:ascii="PT Serif" w:hAnsi="PT Serif"/>
          <w:color w:val="000000"/>
          <w:sz w:val="24"/>
          <w:szCs w:val="24"/>
          <w:shd w:val="clear" w:color="auto" w:fill="FFFFFF"/>
        </w:rPr>
        <w:t>-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трудовые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книжки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нового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образца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вводятся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в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действие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с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1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января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2023</w:t>
      </w:r>
      <w:r w:rsidR="00330FFD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21EA" w:rsidRPr="00103D91">
        <w:rPr>
          <w:rFonts w:ascii="PT Serif" w:hAnsi="PT Serif"/>
          <w:color w:val="000000"/>
          <w:sz w:val="24"/>
          <w:szCs w:val="24"/>
          <w:u w:val="single"/>
          <w:shd w:val="clear" w:color="auto" w:fill="FFFFFF"/>
        </w:rPr>
        <w:t>г.;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</w:p>
    <w:p w:rsidR="00103D91" w:rsidRDefault="00103D91" w:rsidP="009F21E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-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имеющиеся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работников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трудовые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книжки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ранее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установленного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образца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действительны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обмену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новые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подлежат;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</w:p>
    <w:p w:rsidR="009F21EA" w:rsidRPr="00DC1F6B" w:rsidRDefault="00103D91" w:rsidP="009F21E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-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имеющиеся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работодателей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бланки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трудовых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книжек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бланки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вкладышей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них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старого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образца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действительны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могут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использоваться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без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ограничения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="009F21EA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срока.</w:t>
      </w:r>
    </w:p>
    <w:p w:rsidR="009F21EA" w:rsidRPr="00DC1F6B" w:rsidRDefault="009F21EA" w:rsidP="009F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EFD" w:rsidRPr="00DC1F6B" w:rsidRDefault="00C91EFD" w:rsidP="00C91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Фискальные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накопители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1EFD" w:rsidRPr="00DC1F6B" w:rsidRDefault="00C91EFD" w:rsidP="00103D91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Фискальные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накопители,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поддерживают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только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фискальных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документов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версии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1.05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1.1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(ФН-1.1),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необходимо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зарегистрировать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6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августа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2019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вступили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силу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новые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требования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фискальным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накопителям.</w:t>
      </w:r>
    </w:p>
    <w:p w:rsidR="00C91EFD" w:rsidRPr="00DC1F6B" w:rsidRDefault="00C91EFD" w:rsidP="00103D91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Изготовителям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было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предоставлено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два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приведение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производимых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моделей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требованиями.</w:t>
      </w:r>
      <w:r w:rsid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настоящее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время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реестр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включены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сведения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следующих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моделях,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поддерживают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форматы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фискальных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документов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версии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1.05,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1.1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1.2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соответствуют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новым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требованиям:</w:t>
      </w:r>
    </w:p>
    <w:p w:rsidR="00C91EFD" w:rsidRPr="00DC1F6B" w:rsidRDefault="00C91EFD" w:rsidP="00103D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шифровальное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(криптографическое)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средство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защиты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фискальных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данных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фискальный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накопитель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«ФН-1.1М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исполнение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Ин15-1М»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максимальным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сроком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действия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ключей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фискального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признака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15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месяцев;</w:t>
      </w:r>
    </w:p>
    <w:p w:rsidR="00C91EFD" w:rsidRPr="00DC1F6B" w:rsidRDefault="00C91EFD" w:rsidP="00103D9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шифровальное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(криптографическое)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средство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защиты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фискальных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данных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фискальный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накопитель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«ФН-1.1М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исполнение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Ин36-1М»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максимальным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сроком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действия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ключей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фискального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признака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36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месяцев.</w:t>
      </w:r>
    </w:p>
    <w:p w:rsidR="00C91EFD" w:rsidRPr="00DC1F6B" w:rsidRDefault="00C91EFD" w:rsidP="00103D91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Пользователи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контрольно-кассовой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техники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(ККТ),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имеют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наличии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экземпляры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ФН-1.1,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могут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зарегистрировать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их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составе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ККТ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установленном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порядке</w:t>
      </w:r>
      <w:r w:rsidR="00330FFD" w:rsidRPr="00DC1F6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lastRenderedPageBreak/>
        <w:t>до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6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августа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использовать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накопители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до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окончания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срока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действия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ключей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фискального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признака.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После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6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августа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регистрация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экземпляров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ФН-1.1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составе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ККТ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будет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являться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нарушением</w:t>
      </w:r>
      <w:r w:rsidR="00330FFD"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103D91">
        <w:rPr>
          <w:rFonts w:ascii="PT Serif" w:hAnsi="PT Serif"/>
          <w:color w:val="000000"/>
          <w:sz w:val="24"/>
          <w:szCs w:val="24"/>
          <w:shd w:val="clear" w:color="auto" w:fill="FFFFFF"/>
        </w:rPr>
        <w:t>законодательства.</w:t>
      </w:r>
    </w:p>
    <w:p w:rsidR="00C91EFD" w:rsidRPr="00DC1F6B" w:rsidRDefault="00C91EFD" w:rsidP="00C91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заполнения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платежных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поручений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1EFD" w:rsidRPr="00DC1F6B" w:rsidRDefault="00C91EFD" w:rsidP="00C91EF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17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июля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2021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года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меняются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правила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заполнения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платежных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поручений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уплате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организацией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работников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налоговых,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таможенных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платежей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бюджет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РФ.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Соответствующие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изменения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содержатся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Приказе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Минфина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РФ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14.09.2020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№199н.</w:t>
      </w:r>
    </w:p>
    <w:p w:rsidR="00C91EFD" w:rsidRPr="00DC1F6B" w:rsidRDefault="00C91EFD" w:rsidP="00C91EF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При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переводе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удержанных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зарплаты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налоговых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долгов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работника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платежном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поручении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следует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указывать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ИНН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организации,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ИНН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этого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работника.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Речь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идет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ситуациях,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когда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работодателя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есть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исполнительный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лист,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согласно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которому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обязан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удерживать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долг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зарплаты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работника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перечислять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его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бюджет.</w:t>
      </w:r>
    </w:p>
    <w:p w:rsidR="00C91EFD" w:rsidRPr="00DC1F6B" w:rsidRDefault="00C91EFD" w:rsidP="00C91EF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4"/>
          <w:szCs w:val="24"/>
          <w:shd w:val="clear" w:color="auto" w:fill="FFFFFF"/>
        </w:rPr>
      </w:pP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Изменения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касаются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уплаты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НДФЛ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и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страховых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взносов,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которые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переводит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в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бюджет</w:t>
      </w:r>
      <w:r w:rsidR="00330FFD"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 xml:space="preserve"> </w:t>
      </w:r>
      <w:r w:rsidRPr="00DC1F6B">
        <w:rPr>
          <w:rFonts w:ascii="PT Serif" w:hAnsi="PT Serif"/>
          <w:color w:val="000000"/>
          <w:sz w:val="24"/>
          <w:szCs w:val="24"/>
          <w:shd w:val="clear" w:color="auto" w:fill="FFFFFF"/>
        </w:rPr>
        <w:t>работодатель.</w:t>
      </w:r>
    </w:p>
    <w:p w:rsidR="007C2208" w:rsidRPr="00DC1F6B" w:rsidRDefault="007C2208" w:rsidP="007C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2208" w:rsidRPr="00DC1F6B" w:rsidRDefault="007C2208" w:rsidP="007C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уменьшении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суммы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налога,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C2208" w:rsidRPr="00DC1F6B" w:rsidRDefault="007C2208" w:rsidP="007C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уплачиваемого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связи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применением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ПСН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сумму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страховых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взносов</w:t>
      </w:r>
    </w:p>
    <w:p w:rsidR="007C2208" w:rsidRPr="00DC1F6B" w:rsidRDefault="007C2208" w:rsidP="00BC42D4">
      <w:pPr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2021г.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вступил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NЕД-7-3/218@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уплачиваемого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налогообложения,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346.51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(взносов)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пособий».</w:t>
      </w:r>
    </w:p>
    <w:p w:rsidR="007C2208" w:rsidRPr="00DC1F6B" w:rsidRDefault="007C2208" w:rsidP="007C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обмена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гражданина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330FFD"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возрасту</w:t>
      </w:r>
    </w:p>
    <w:p w:rsidR="00BC42D4" w:rsidRPr="00DC1F6B" w:rsidRDefault="007C2208" w:rsidP="00BC42D4">
      <w:pPr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1205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828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гражданина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Федерации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08.07.1997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828,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15.07.2021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2D4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Федерации»).</w:t>
      </w:r>
    </w:p>
    <w:p w:rsidR="00BC42D4" w:rsidRPr="00DC1F6B" w:rsidRDefault="00BC42D4" w:rsidP="00BC42D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90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(п.15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паспорте</w:t>
      </w:r>
      <w:r w:rsidR="00330FFD"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…).</w:t>
      </w:r>
    </w:p>
    <w:p w:rsidR="007C2208" w:rsidRPr="00DC1F6B" w:rsidRDefault="007C2208" w:rsidP="0091565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651" w:rsidRPr="00DC1F6B" w:rsidRDefault="00915651" w:rsidP="0091565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Планируется изменение МРОТ в 2022 году</w:t>
      </w:r>
    </w:p>
    <w:p w:rsidR="00915651" w:rsidRPr="00DC1F6B" w:rsidRDefault="00915651" w:rsidP="0091565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Минтруд предложил увеличить с 2022 года МРОТ на 825 рублей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15651" w:rsidRPr="00DC1F6B" w:rsidRDefault="00915651" w:rsidP="0091565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13 617 руб.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такой планируют минимальную зарплату на следующий год. Проект проходит общественное обсуждение.</w:t>
      </w:r>
    </w:p>
    <w:p w:rsidR="00915651" w:rsidRPr="00DC1F6B" w:rsidRDefault="00915651" w:rsidP="0091565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МРОТ -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12 792 руб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Напомним, теперь его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по-новому. Так, он зависит от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медианной зарплаты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предыдущий год. По расчетам Росстата, за 2020 год она равна 32 422 руб. МРОТ 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DC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42% от этого показателя.</w:t>
      </w:r>
    </w:p>
    <w:p w:rsidR="007C2208" w:rsidRDefault="007C2208" w:rsidP="00C91EFD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000000"/>
          <w:sz w:val="26"/>
          <w:szCs w:val="26"/>
          <w:shd w:val="clear" w:color="auto" w:fill="FFFFFF"/>
        </w:rPr>
      </w:pPr>
    </w:p>
    <w:p w:rsidR="00701E00" w:rsidRPr="004E0DF4" w:rsidRDefault="00701E00" w:rsidP="00701E00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color w:val="000000"/>
          <w:sz w:val="26"/>
          <w:szCs w:val="26"/>
          <w:shd w:val="clear" w:color="auto" w:fill="FFFFFF"/>
        </w:rPr>
      </w:pPr>
      <w:r w:rsidRPr="004E0DF4">
        <w:rPr>
          <w:rFonts w:ascii="PT Serif" w:hAnsi="PT Serif"/>
          <w:b/>
          <w:color w:val="000000"/>
          <w:sz w:val="26"/>
          <w:szCs w:val="26"/>
          <w:shd w:val="clear" w:color="auto" w:fill="FFFFFF"/>
        </w:rPr>
        <w:t>Судебная практика</w:t>
      </w:r>
    </w:p>
    <w:p w:rsidR="00701E00" w:rsidRDefault="00701E00" w:rsidP="00701E0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Декларацию сдал неизвестный: суд обязал инспекцию признать отчетность неподанной (Постановление АС Северо-Западного округа от 13.07.2021 по делу N А56-14368/2020).</w:t>
      </w:r>
    </w:p>
    <w:p w:rsidR="004E0DF4" w:rsidRPr="004E0DF4" w:rsidRDefault="004E0DF4" w:rsidP="004E0DF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отчиталась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НДС. Однако позже инспекция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неуполномоченного лица (другой компании по ложной доверенности) уточненные декларации с "нулевыми" показателями. Налоговики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загрузили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отчетность в систему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учета. Налогоплательщик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ситуации и потребовал признать декларации неподанными, ведь к нему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обращаться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контрагенты </w:t>
      </w:r>
      <w:proofErr w:type="gramStart"/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запросов</w:t>
      </w:r>
      <w:proofErr w:type="gramEnd"/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проверяющих в связи с "обнулением".</w:t>
      </w:r>
    </w:p>
    <w:p w:rsidR="004E0DF4" w:rsidRPr="004E0DF4" w:rsidRDefault="004E0DF4" w:rsidP="004E0DF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отказалась удалить данные из системы. Однако АС Северо-Западного округа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признал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 незаконным, поскольку учет недостоверных сведений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самого налогоплательщика и может привести к нарушению прав и интересов его партнеров.</w:t>
      </w:r>
    </w:p>
    <w:p w:rsidR="004E0DF4" w:rsidRPr="004E0DF4" w:rsidRDefault="004E0DF4" w:rsidP="004E0DF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Налоговики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ссылались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законодательство и программное обеспечение не позволяют признать отчетность неподанной. Однако суд довод отклонил,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отметив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 моменту рассмотрения спора кассацией достоверные сведения уже восстановили.</w:t>
      </w:r>
    </w:p>
    <w:p w:rsidR="004E0DF4" w:rsidRPr="004E0DF4" w:rsidRDefault="004E0DF4" w:rsidP="004E0DF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о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и ИП могут сделать так, что инспекция не будет принимать отчетность по НДС, подписанную уполномоченными лицами, а не законным представителем. Для этого нужно направить налоговикам уведомление.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Рекомендуемую форму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уведомления и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электронном виде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ФНС России от 28.06.2021 N ЕА-4-15/9014@).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можно применять уже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июля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DF4" w:rsidRPr="004E0DF4" w:rsidRDefault="004E0DF4" w:rsidP="004E0DF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отменить запрет, так же следует подать уведомление, только поставить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код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"2" вместо "1".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 это поможет снизить риск мошенничества и возникновения споров о представлении отчетности.</w:t>
      </w:r>
    </w:p>
    <w:sectPr w:rsidR="004E0DF4" w:rsidRPr="004E0DF4" w:rsidSect="00BC42D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E6B"/>
    <w:multiLevelType w:val="multilevel"/>
    <w:tmpl w:val="FB4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661BF"/>
    <w:multiLevelType w:val="multilevel"/>
    <w:tmpl w:val="555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5C1A"/>
    <w:multiLevelType w:val="multilevel"/>
    <w:tmpl w:val="39F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63AF1"/>
    <w:multiLevelType w:val="multilevel"/>
    <w:tmpl w:val="E64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723EB"/>
    <w:multiLevelType w:val="multilevel"/>
    <w:tmpl w:val="4A7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0D7C"/>
    <w:multiLevelType w:val="multilevel"/>
    <w:tmpl w:val="188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4911"/>
    <w:multiLevelType w:val="multilevel"/>
    <w:tmpl w:val="8C565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913F0"/>
    <w:multiLevelType w:val="multilevel"/>
    <w:tmpl w:val="01D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66DAD"/>
    <w:multiLevelType w:val="multilevel"/>
    <w:tmpl w:val="9FC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B241E"/>
    <w:multiLevelType w:val="multilevel"/>
    <w:tmpl w:val="B6D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65F05"/>
    <w:multiLevelType w:val="multilevel"/>
    <w:tmpl w:val="184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04901"/>
    <w:multiLevelType w:val="multilevel"/>
    <w:tmpl w:val="E72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B652F"/>
    <w:multiLevelType w:val="multilevel"/>
    <w:tmpl w:val="14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7"/>
    <w:rsid w:val="000D5DEE"/>
    <w:rsid w:val="000D79A1"/>
    <w:rsid w:val="00103D91"/>
    <w:rsid w:val="00140409"/>
    <w:rsid w:val="001B2304"/>
    <w:rsid w:val="00277F57"/>
    <w:rsid w:val="002B5E6C"/>
    <w:rsid w:val="00330FFD"/>
    <w:rsid w:val="003C1C22"/>
    <w:rsid w:val="003E273C"/>
    <w:rsid w:val="003E6FE7"/>
    <w:rsid w:val="004C515C"/>
    <w:rsid w:val="004E0DF4"/>
    <w:rsid w:val="00543320"/>
    <w:rsid w:val="005F750D"/>
    <w:rsid w:val="00652F05"/>
    <w:rsid w:val="00701E00"/>
    <w:rsid w:val="007925C4"/>
    <w:rsid w:val="007C2208"/>
    <w:rsid w:val="007C40FD"/>
    <w:rsid w:val="0080540A"/>
    <w:rsid w:val="0088130D"/>
    <w:rsid w:val="00911171"/>
    <w:rsid w:val="00915651"/>
    <w:rsid w:val="009F21EA"/>
    <w:rsid w:val="00A13D3E"/>
    <w:rsid w:val="00B84C55"/>
    <w:rsid w:val="00BC42D4"/>
    <w:rsid w:val="00C53470"/>
    <w:rsid w:val="00C600D3"/>
    <w:rsid w:val="00C91EFD"/>
    <w:rsid w:val="00D34CB5"/>
    <w:rsid w:val="00DC1F6B"/>
    <w:rsid w:val="00E46CD4"/>
    <w:rsid w:val="00E85CC5"/>
    <w:rsid w:val="00F63B7F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DE0D"/>
  <w15:chartTrackingRefBased/>
  <w15:docId w15:val="{2CA362FF-0F17-42B9-A393-8865C4EA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FE7"/>
    <w:rPr>
      <w:color w:val="0000FF"/>
      <w:u w:val="single"/>
    </w:rPr>
  </w:style>
  <w:style w:type="character" w:customStyle="1" w:styleId="content-product-title">
    <w:name w:val="content-product-title"/>
    <w:basedOn w:val="a0"/>
    <w:rsid w:val="003E6FE7"/>
  </w:style>
  <w:style w:type="character" w:customStyle="1" w:styleId="figuretext">
    <w:name w:val="figure__text"/>
    <w:basedOn w:val="a0"/>
    <w:rsid w:val="003E6FE7"/>
  </w:style>
  <w:style w:type="character" w:customStyle="1" w:styleId="10">
    <w:name w:val="Заголовок 1 Знак"/>
    <w:basedOn w:val="a0"/>
    <w:link w:val="1"/>
    <w:uiPriority w:val="9"/>
    <w:rsid w:val="00140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le-autorinfo">
    <w:name w:val="tile-autor__info"/>
    <w:basedOn w:val="a0"/>
    <w:rsid w:val="00140409"/>
  </w:style>
  <w:style w:type="character" w:customStyle="1" w:styleId="tile-autorwork">
    <w:name w:val="tile-autor__work"/>
    <w:basedOn w:val="a0"/>
    <w:rsid w:val="00140409"/>
  </w:style>
  <w:style w:type="character" w:styleId="a5">
    <w:name w:val="Emphasis"/>
    <w:basedOn w:val="a0"/>
    <w:uiPriority w:val="20"/>
    <w:qFormat/>
    <w:rsid w:val="00140409"/>
    <w:rPr>
      <w:i/>
      <w:iCs/>
    </w:rPr>
  </w:style>
  <w:style w:type="character" w:customStyle="1" w:styleId="figuretitle">
    <w:name w:val="figure__title"/>
    <w:basedOn w:val="a0"/>
    <w:rsid w:val="00140409"/>
  </w:style>
  <w:style w:type="paragraph" w:styleId="a6">
    <w:name w:val="List Paragraph"/>
    <w:basedOn w:val="a"/>
    <w:uiPriority w:val="34"/>
    <w:qFormat/>
    <w:rsid w:val="007925C4"/>
    <w:pPr>
      <w:ind w:left="720"/>
      <w:contextualSpacing/>
    </w:pPr>
  </w:style>
  <w:style w:type="character" w:customStyle="1" w:styleId="apple-converted-space">
    <w:name w:val="apple-converted-space"/>
    <w:basedOn w:val="a0"/>
    <w:rsid w:val="003E273C"/>
  </w:style>
  <w:style w:type="paragraph" w:customStyle="1" w:styleId="dt-p">
    <w:name w:val="dt-p"/>
    <w:basedOn w:val="a"/>
    <w:rsid w:val="00C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stitle">
    <w:name w:val="attachments__title"/>
    <w:basedOn w:val="a0"/>
    <w:rsid w:val="004E0DF4"/>
  </w:style>
  <w:style w:type="paragraph" w:customStyle="1" w:styleId="attachmentsitem">
    <w:name w:val="attachments__item"/>
    <w:basedOn w:val="a"/>
    <w:rsid w:val="004E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125">
              <w:marLeft w:val="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80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02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86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65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5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11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80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23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8678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64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7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96704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4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7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30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6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4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CF39-6CBC-4245-8384-8868077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Наталья Игоревна</dc:creator>
  <cp:keywords/>
  <dc:description/>
  <cp:lastModifiedBy>Савенко Наталья Игоревна</cp:lastModifiedBy>
  <cp:revision>2</cp:revision>
  <dcterms:created xsi:type="dcterms:W3CDTF">2021-07-30T13:11:00Z</dcterms:created>
  <dcterms:modified xsi:type="dcterms:W3CDTF">2021-07-30T13:11:00Z</dcterms:modified>
</cp:coreProperties>
</file>