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9" w:rsidRPr="00825AB9" w:rsidRDefault="00B874D6" w:rsidP="00825AB9">
      <w:pPr>
        <w:rPr>
          <w:b/>
        </w:rPr>
      </w:pPr>
      <w:r>
        <w:rPr>
          <w:b/>
        </w:rPr>
        <w:t>Август</w:t>
      </w:r>
      <w:r w:rsidR="00825AB9" w:rsidRPr="00825AB9">
        <w:rPr>
          <w:b/>
        </w:rPr>
        <w:t xml:space="preserve"> 2019. Информационный бюллетень</w:t>
      </w:r>
    </w:p>
    <w:p w:rsidR="00B874D6" w:rsidRDefault="00B874D6" w:rsidP="00B874D6">
      <w:r>
        <w:t>ККТ и встречное представление</w:t>
      </w:r>
    </w:p>
    <w:p w:rsidR="00B874D6" w:rsidRDefault="00B874D6" w:rsidP="00B874D6">
      <w:r>
        <w:t xml:space="preserve">   С 01.07.2019 Закон от 22.05.2003 № 54-ФЗ "О применении контрольно-кассовой техники при осуществлении расчетов в Российской Федерации" предусматривает применение ККТ не только при денежных формах расчета, но, в определенных случаях и при безденежных расчетах. Так, в ст. 1.1 отражено, что «под расчетами понимаются также … предоставление или получение иного встречного предоставления за товары, работы, услуги». При этом ни сам Закон от 22.05.2003 № 54-ФЗ, ни иные нормативные документы не содержат определения, что же относится к встречному предоставлению. Одним из самых больных вопросов является необходимость применения ККТ при проведении взаимозачетов между организациями и/или предпринимателями. И вопросы о таком применении ККТ пользователями направляются как в Минфин, так и в налоговые органы.</w:t>
      </w:r>
      <w:r>
        <w:t xml:space="preserve"> И вот поступают первые ответы.</w:t>
      </w:r>
    </w:p>
    <w:p w:rsidR="00B874D6" w:rsidRDefault="00B874D6" w:rsidP="00B874D6">
      <w:r>
        <w:t xml:space="preserve">   Так, в письме Управления Федеральной налоговой службы по г. Москве от 01.08.2019 № 17-15/138092@ «О разъяснении законодательства» отражено, что «встречное предоставление возникает при договоре купли-продажи, где одна из сторон обязуется передать в собственность другой стороны предмет расчета в обмен на другой. При этом каждая из сторон признается продавцом предмета расчета, который она обязуется передать, и покупателем предмета расчета, который </w:t>
      </w:r>
      <w:r>
        <w:t>она обязуется принять в обмен».</w:t>
      </w:r>
    </w:p>
    <w:p w:rsidR="00B874D6" w:rsidRDefault="00B874D6" w:rsidP="00B874D6">
      <w:r>
        <w:t xml:space="preserve">   </w:t>
      </w:r>
      <w:proofErr w:type="gramStart"/>
      <w:r>
        <w:t>В письме Управления Федеральной налоговой службы по Челябинской области от 15.08.2019 № 25-17/001035 указано, что «расчеты, по которым не используются наличные деньги (в том числе предоставление или получение иного встречного предоставления) можно отнести к безналичным… в случае, если при осуществлении расчета между юридическими лицами не используются наличные средства и не происходит предъявление электронного средства платежа, ККТ не применяется.</w:t>
      </w:r>
      <w:proofErr w:type="gramEnd"/>
      <w:r>
        <w:t xml:space="preserve"> </w:t>
      </w:r>
      <w:proofErr w:type="gramStart"/>
      <w:r>
        <w:t>При проведении взаимозачета встречных требований, возникших между физическим и юридическим лицами в связи с реализацией товаров, работ, услуг), последним применяется ККТ»</w:t>
      </w:r>
      <w:r>
        <w:t>.</w:t>
      </w:r>
      <w:proofErr w:type="gramEnd"/>
    </w:p>
    <w:p w:rsidR="00B874D6" w:rsidRDefault="00B874D6" w:rsidP="00B874D6">
      <w:r>
        <w:t xml:space="preserve">   Надо отметить, что данные письма являются ответами на частные письма. При этом письма не содержат прямого ответа на вопрос о применении ККТ при проведении взаимозачета между организациями и/и предпринимателями. Поэтому вопрос остается открытым (хотя в частных беседах специалисты налогового органа подтверждают, что при проведении взаимозачета между юридическими лицами и/или предпринимателя</w:t>
      </w:r>
      <w:r>
        <w:t>ми применять ККТ не требуется).</w:t>
      </w:r>
    </w:p>
    <w:p w:rsidR="00B874D6" w:rsidRDefault="00B874D6" w:rsidP="00B874D6">
      <w:r>
        <w:t>Дробление бизнеса</w:t>
      </w:r>
    </w:p>
    <w:p w:rsidR="00B874D6" w:rsidRDefault="00B874D6" w:rsidP="00B874D6">
      <w:r>
        <w:t xml:space="preserve">   Арбитражный суд Северо-Кавказского округа в постановлении от 17.06.2019 № Ф08-4285/19 признал, что дробление единого бизнеса между несколькими самостоятельными участниками не свидетельствует о получении необоснованной налоговой выгоды и не является осно</w:t>
      </w:r>
      <w:r>
        <w:t>ванием для доначисления налогов.</w:t>
      </w:r>
    </w:p>
    <w:p w:rsidR="00B874D6" w:rsidRDefault="00B874D6" w:rsidP="00B874D6">
      <w:r>
        <w:t xml:space="preserve">   Сумма спора была более 32 млн. руб. И органи</w:t>
      </w:r>
      <w:r>
        <w:t>зациями выиграла у налоговиков!</w:t>
      </w:r>
    </w:p>
    <w:p w:rsidR="00B874D6" w:rsidRDefault="00B874D6" w:rsidP="00B874D6">
      <w:r>
        <w:t xml:space="preserve">   Налоговые органы утверждали, что руководство организации и ИП были зависимыми лицами по факту родства (отец и дочь), деятельность также была одинаковая - реализация мебели. Таким образом, целью создания такой схемы работы было дробление бизнеса для получения незаконной выгоды путем применения специального налогового режима.</w:t>
      </w:r>
    </w:p>
    <w:p w:rsidR="00B874D6" w:rsidRDefault="00B874D6" w:rsidP="00B874D6">
      <w:r>
        <w:lastRenderedPageBreak/>
        <w:t xml:space="preserve">   Суд признал действия налогового органа не законными. Ведь организация занималась производством и оптовой продажей, а предприниматель – розничной торговлей. Т.е. деятельность разная, хотя товар один и тот же. Само по себе признание факт родства не может являться основанием для признания налоговой выгоды необоснованной.</w:t>
      </w:r>
    </w:p>
    <w:p w:rsidR="00B874D6" w:rsidRDefault="00B874D6" w:rsidP="00B874D6">
      <w:r>
        <w:t>Судом также отмечено, что в случае дробления бизнеса в виде регистрации нового юридического лица (индивидуального предпринимателя) новому лицу передается какой-либо вид деятельности. В таком случае деловая цель очевидна - разделение финансовых потоков и разграничение видов деятельности позволит новой компании более эффективно управлять полученным активом. И инспекция не доказала наличие действительного дробления бизнеса, в том числе того, что общество и ИП Канина И.И. согласовывали друг с другом штатные расписания, утверждающие количество работников у каждого из них, размер оплаты их труда, вопросы приема и увольнения работников, их перемещения, графики отпусков. Из материалов налоговой проверки усматривается, что каждый из них самостоятельно начислял своим работникам заработную плату, выполнял обязанности налогового агента, своевременно предоставлял налоговую отчетность и сведения о доходах физических лиц за проверяемый период. Также надо учитывать, что предприниматель приобретал товары не только у организации, были и другие поставщика (с долее существенной до</w:t>
      </w:r>
      <w:r>
        <w:t>лей поставки, чем предприятие).</w:t>
      </w:r>
    </w:p>
    <w:p w:rsidR="00B874D6" w:rsidRDefault="00B874D6" w:rsidP="00B874D6">
      <w:r>
        <w:t xml:space="preserve">   Хочетс</w:t>
      </w:r>
      <w:r>
        <w:t>я отметить еще один вывод суда:</w:t>
      </w:r>
    </w:p>
    <w:p w:rsidR="00B874D6" w:rsidRDefault="00B874D6" w:rsidP="00B874D6">
      <w:r>
        <w:t xml:space="preserve">   </w:t>
      </w:r>
      <w:proofErr w:type="gramStart"/>
      <w:r>
        <w:t>«Для подключения к сети применяются динамические IP-адреса, что дает провайдеру возможность обслуживать большее количество клиентов, чем реальное количестве свободных адресов, находящихся во владении провайдера.</w:t>
      </w:r>
      <w:proofErr w:type="gramEnd"/>
      <w:r>
        <w:t xml:space="preserve"> Совпадение IP-адресов в данном случае может свидетельствовать лишь о совпадении адреса, с которого поступило платежное поручение. Тем самым динамические IP-адреса соединения с Интернетом могут совпадать у весьма значительного числа устройств. Сам по себе факт совпадения динамических IP-адресов не доказывает совпадение различных налогоплательщиков в одном лице при ведении и</w:t>
      </w:r>
      <w:r>
        <w:t>ми хозяйственной деятельности».</w:t>
      </w:r>
    </w:p>
    <w:p w:rsidR="00B874D6" w:rsidRDefault="00B874D6" w:rsidP="00B874D6">
      <w:r>
        <w:t>Изменения в Налого</w:t>
      </w:r>
      <w:r>
        <w:t>вом кодексе РФ</w:t>
      </w:r>
    </w:p>
    <w:p w:rsidR="00B874D6" w:rsidRDefault="00B874D6" w:rsidP="00B874D6">
      <w:r>
        <w:t xml:space="preserve">   По</w:t>
      </w:r>
      <w:r>
        <w:t>правки в Налоговый кодекс РФ внесены Федеральны</w:t>
      </w:r>
      <w:r>
        <w:t>м законом от 26.07.19 № 210-ФЗ.</w:t>
      </w:r>
    </w:p>
    <w:p w:rsidR="00B874D6" w:rsidRDefault="00B874D6" w:rsidP="00B874D6">
      <w:r>
        <w:t xml:space="preserve">   Так с 2020 г. в ст. 217 НК РФ появится новый подпункт 62.1. В нем говорится, что если в роли кредитора выступает организация или ИП, то безнадежная задолженность под НДФЛ не подпадает. Но не всегда, а при одновременно</w:t>
      </w:r>
      <w:r>
        <w:t>м соблюдении следующих условий:</w:t>
      </w:r>
    </w:p>
    <w:p w:rsidR="00B874D6" w:rsidRDefault="00B874D6" w:rsidP="00B874D6">
      <w:r>
        <w:t xml:space="preserve">   1. Заемщик и кредитор не взаимозависимы, и в момент получения займа и далее должник не состоял в тру</w:t>
      </w:r>
      <w:r>
        <w:t>довых отношениях с заимодавцем;</w:t>
      </w:r>
    </w:p>
    <w:p w:rsidR="00B874D6" w:rsidRDefault="00B874D6" w:rsidP="00B874D6">
      <w:r>
        <w:t xml:space="preserve">   2. Кредит по своей сути не является материальной помощью, выданной заемщику, либо погашением встречных обязательств перед ним (например, оплатой товаров, кот</w:t>
      </w:r>
      <w:r>
        <w:t>орые должник продал кредитору).</w:t>
      </w:r>
    </w:p>
    <w:p w:rsidR="00B874D6" w:rsidRDefault="00B874D6" w:rsidP="00B874D6">
      <w:r>
        <w:t xml:space="preserve">   В налог на прибыль вносится ряд изменений, которые касаются инвестиционного вычета</w:t>
      </w:r>
      <w:r>
        <w:t>.</w:t>
      </w:r>
    </w:p>
    <w:p w:rsidR="00B874D6" w:rsidRDefault="00B874D6" w:rsidP="00B874D6">
      <w:r>
        <w:t xml:space="preserve">   Так, с 2020 инвестиционный вычет можно применять в отношении основных средств, отнесенных не только к третьей-седьмой амортизационным группам, но и к основным средствам из восьмой, девятой и десятой групп. Исключение будет сделано в отношении зданий, </w:t>
      </w:r>
      <w:r>
        <w:lastRenderedPageBreak/>
        <w:t xml:space="preserve">сооружений и передаточных устройств из групп с восьмой по десятую. К таким объектам вычет по-прежнему не применим (новая </w:t>
      </w:r>
      <w:r>
        <w:t>редакция п. 4 ст. 286.1 НК РФ).</w:t>
      </w:r>
    </w:p>
    <w:p w:rsidR="00B874D6" w:rsidRDefault="00B874D6" w:rsidP="00B874D6">
      <w:r>
        <w:t xml:space="preserve">   Если у компании есть обособленные подразделения в разных регионах, то принимать решение о применении вычета можно для каждого региона в отдельности. Главное, чтобы это решение распространялось на все подразделения, которые находятся на территории данного субъекта РФ (новая редакция п. 8 ст. 286.1 НК РФ).</w:t>
      </w:r>
    </w:p>
    <w:p w:rsidR="00B874D6" w:rsidRDefault="00B874D6" w:rsidP="00B874D6">
      <w:r>
        <w:t>Также вносятся уточнения для предельной величины инвестиционного вычета.</w:t>
      </w:r>
    </w:p>
    <w:p w:rsidR="00B874D6" w:rsidRDefault="00B874D6" w:rsidP="00B874D6">
      <w:r>
        <w:t>Отм</w:t>
      </w:r>
      <w:r>
        <w:t>етим и положительные изменения.</w:t>
      </w:r>
    </w:p>
    <w:p w:rsidR="00B874D6" w:rsidRDefault="00B874D6" w:rsidP="00B874D6">
      <w:r>
        <w:t xml:space="preserve">   Снято ограничение по сроку действия нулевой ставки по налогу на прибыль для медицинских и образовательных учреждений, а также организаций, осуществляющих социальное обслуживание граждан (ранее предполагало</w:t>
      </w:r>
      <w:r>
        <w:t>сь, что ее отменят с 2020 года)</w:t>
      </w:r>
    </w:p>
    <w:p w:rsidR="00B874D6" w:rsidRDefault="00B874D6" w:rsidP="00B874D6">
      <w:r>
        <w:t>Изменения в Трудовой кодекс РФ</w:t>
      </w:r>
    </w:p>
    <w:p w:rsidR="00B874D6" w:rsidRDefault="00B874D6" w:rsidP="00B874D6">
      <w:r>
        <w:t xml:space="preserve">   Измен</w:t>
      </w:r>
      <w:r>
        <w:t>ения внесены Федеральным</w:t>
      </w:r>
      <w:r>
        <w:t xml:space="preserve"> законом от 26.07.2019 N 231-ФЗ</w:t>
      </w:r>
    </w:p>
    <w:p w:rsidR="00B874D6" w:rsidRDefault="00B874D6" w:rsidP="00B874D6">
      <w:r>
        <w:t xml:space="preserve">   С 06 августа 2019 увеличен срок, в течение которого работник должен сообщить работодателю в письменной форме о замене банка, – с 5 рабочих до 15 календарных дней. В связи с этим появился отдельный, специальный штраф для работодателей, которые отказываются перечислять зарплату в тот банк, который сотрудники выбрали самостоятельно – ч. 6 ст. 5.27 КоАП РФ (в редакции Федерального закона от 26.07.2019 N 221-ФЗ), будет также штраф за повторное нарушение </w:t>
      </w:r>
      <w:r>
        <w:t>по части 7 статьи 5.27 КоАП РФ.</w:t>
      </w:r>
    </w:p>
    <w:p w:rsidR="00B874D6" w:rsidRDefault="00B874D6" w:rsidP="00B874D6">
      <w:r>
        <w:t>Увеличение МРОТ с 01.01.2020</w:t>
      </w:r>
    </w:p>
    <w:p w:rsidR="00B874D6" w:rsidRDefault="00B874D6" w:rsidP="00B874D6">
      <w:r>
        <w:t xml:space="preserve">   Минтруд России приказом от 09.08.19 № 561н утвердил величины прожиточного минимума в целом по России за II квартал 2019 года. </w:t>
      </w:r>
      <w:proofErr w:type="gramStart"/>
      <w:r>
        <w:t>Согласно</w:t>
      </w:r>
      <w:proofErr w:type="gramEnd"/>
      <w:r>
        <w:t xml:space="preserve"> этого приказа, величина прожиточного минимума для трудоспособного населения равна 12 130 рублям. Следовательно, с 2020 года минимальный </w:t>
      </w:r>
      <w:proofErr w:type="gramStart"/>
      <w:r>
        <w:t>размер оплаты труда</w:t>
      </w:r>
      <w:proofErr w:type="gramEnd"/>
      <w:r>
        <w:t xml:space="preserve"> также </w:t>
      </w:r>
      <w:r>
        <w:t>будет составлять 12 130 рублей.</w:t>
      </w:r>
    </w:p>
    <w:p w:rsidR="00B874D6" w:rsidRDefault="00B874D6" w:rsidP="00B874D6">
      <w:r>
        <w:t xml:space="preserve">   </w:t>
      </w:r>
      <w:proofErr w:type="gramStart"/>
      <w:r>
        <w:t>Согласно</w:t>
      </w:r>
      <w:proofErr w:type="gramEnd"/>
      <w:r>
        <w:t xml:space="preserve"> действующего законодательства, МРОТ устанавливается федеральным законом в размере величины прожиточного минимума трудоспособного населения в целом по РФ за II квартал предыдущего года (ст. 3 Федеральног</w:t>
      </w:r>
      <w:r>
        <w:t>о закона от 28.12.17 № 421-ФЗ).</w:t>
      </w:r>
    </w:p>
    <w:p w:rsidR="00B874D6" w:rsidRDefault="00B874D6" w:rsidP="00B874D6">
      <w:r>
        <w:t xml:space="preserve">   В настоящее время (с 01.01.2019) МРОТ составляет 11 280 рублей. Таким образом, с 1 января 2020 года федеральный МРОТ повысится на 850 руб</w:t>
      </w:r>
      <w:r>
        <w:t>лей — до 12 130 рублей в месяц.</w:t>
      </w:r>
    </w:p>
    <w:p w:rsidR="00B874D6" w:rsidRDefault="00B874D6" w:rsidP="00B874D6">
      <w:r>
        <w:t>Разделение имущества</w:t>
      </w:r>
      <w:r>
        <w:t xml:space="preserve"> </w:t>
      </w:r>
      <w:proofErr w:type="gramStart"/>
      <w:r>
        <w:t>на</w:t>
      </w:r>
      <w:proofErr w:type="gramEnd"/>
      <w:r>
        <w:t xml:space="preserve"> движимое и недвижимое.</w:t>
      </w:r>
    </w:p>
    <w:p w:rsidR="00B874D6" w:rsidRDefault="00B874D6" w:rsidP="00B874D6">
      <w:r>
        <w:t xml:space="preserve">   С 01.01.2019 налогом на имущество облагается только недвижимое имущество. Но четкого разделения – что является движимым, а что – </w:t>
      </w:r>
      <w:proofErr w:type="gramStart"/>
      <w:r>
        <w:t>не движимым</w:t>
      </w:r>
      <w:proofErr w:type="gramEnd"/>
      <w:r>
        <w:t xml:space="preserve"> з</w:t>
      </w:r>
      <w:r>
        <w:t>аконодательно не предусмотрено.</w:t>
      </w:r>
    </w:p>
    <w:p w:rsidR="00B874D6" w:rsidRDefault="00B874D6" w:rsidP="00B874D6">
      <w:r>
        <w:t xml:space="preserve">   Налоговая служба выпустила новое письмо о квалификации имущества в качестве движимого или недвижимого</w:t>
      </w:r>
    </w:p>
    <w:p w:rsidR="00B874D6" w:rsidRDefault="00B874D6" w:rsidP="00B874D6"/>
    <w:p w:rsidR="002142FA" w:rsidRDefault="00B874D6" w:rsidP="00B874D6">
      <w:r>
        <w:lastRenderedPageBreak/>
        <w:t xml:space="preserve">   ФНС России в письме от 30.07.2019 N БС-4-21/14997 еще раз подчеркнула, что одним из оснований для признания имущества недвижимым является запись в ЕГРН (единый государственный реестра недвижимости), а при ее отсутствии – документация, в том числе проектная и техническая, экспертные оценки, свидетельствующие о наличии прочной связи с землей. При этом обращено внимание на решение АС города Москвы от 14.02.2018 по делу № А40-176218/2017 об отнесении технологических трубопроводов и газоходов к недвижимым вещам. А также на определение Верховного суда России от 12.07.2019 N 307-ЭС19-5241 по делу N А05-879/2018, где суд указал, что оборудование может относиться к недвижимости, только если предназначено для обслуживания здания. Даже если вынос техники, встроенной в отдельно стоящее здание, невозможен без вреда для него, это не делает ее недвижимой. Кроме того, трансформаторную подстанцию суды, включая Верховный суд России, отнесли к движимому имущ</w:t>
      </w:r>
      <w:bookmarkStart w:id="0" w:name="_GoBack"/>
      <w:bookmarkEnd w:id="0"/>
      <w:r>
        <w:t>еству.</w:t>
      </w:r>
    </w:p>
    <w:sectPr w:rsidR="0021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6B"/>
    <w:rsid w:val="002142FA"/>
    <w:rsid w:val="00244578"/>
    <w:rsid w:val="005A629B"/>
    <w:rsid w:val="006908EA"/>
    <w:rsid w:val="00825AB9"/>
    <w:rsid w:val="00B874D6"/>
    <w:rsid w:val="00D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Колиошко</dc:creator>
  <cp:lastModifiedBy>Мария Колиошко</cp:lastModifiedBy>
  <cp:revision>3</cp:revision>
  <cp:lastPrinted>2019-10-24T06:16:00Z</cp:lastPrinted>
  <dcterms:created xsi:type="dcterms:W3CDTF">2019-10-24T04:17:00Z</dcterms:created>
  <dcterms:modified xsi:type="dcterms:W3CDTF">2019-10-24T06:17:00Z</dcterms:modified>
</cp:coreProperties>
</file>