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28ED" w:rsidRPr="000D313A" w:rsidRDefault="00CD28ED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0D313A">
        <w:rPr>
          <w:rFonts w:ascii="Times New Roman" w:eastAsia="Calibri" w:hAnsi="Times New Roman" w:cs="Times New Roman"/>
          <w:b/>
          <w:bCs/>
          <w:sz w:val="28"/>
          <w:szCs w:val="28"/>
        </w:rPr>
        <w:t>Изменения</w:t>
      </w:r>
      <w:r w:rsidR="00B060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8"/>
          <w:szCs w:val="28"/>
        </w:rPr>
        <w:t>в</w:t>
      </w:r>
      <w:r w:rsidR="00B060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8"/>
          <w:szCs w:val="28"/>
        </w:rPr>
        <w:t>Налоговом</w:t>
      </w:r>
      <w:r w:rsidR="00B060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8"/>
          <w:szCs w:val="28"/>
        </w:rPr>
        <w:t>кодексе</w:t>
      </w:r>
      <w:r w:rsidR="00B0608E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8"/>
          <w:szCs w:val="28"/>
        </w:rPr>
        <w:t>РФ</w:t>
      </w:r>
    </w:p>
    <w:p w:rsidR="00CD28ED" w:rsidRPr="00CD28ED" w:rsidRDefault="00E5720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Документ: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закон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29.11.2021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№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382-ФЗ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"О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внесении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изменений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часть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вторую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Налогового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кодекса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CD28ED">
        <w:rPr>
          <w:rFonts w:ascii="Times New Roman" w:eastAsia="Calibri" w:hAnsi="Times New Roman" w:cs="Times New Roman"/>
          <w:sz w:val="24"/>
          <w:szCs w:val="24"/>
        </w:rPr>
        <w:t>Федерации"</w:t>
      </w:r>
      <w:r w:rsidR="000D3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313A">
        <w:rPr>
          <w:rFonts w:ascii="Times New Roman" w:eastAsia="Calibri" w:hAnsi="Times New Roman" w:cs="Times New Roman"/>
          <w:b/>
          <w:sz w:val="24"/>
          <w:szCs w:val="24"/>
        </w:rPr>
        <w:t>НДС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13A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5" w:history="1">
        <w:r w:rsidRPr="000D313A">
          <w:rPr>
            <w:rFonts w:ascii="Times New Roman" w:eastAsia="Calibri" w:hAnsi="Times New Roman" w:cs="Times New Roman"/>
            <w:sz w:val="24"/>
            <w:szCs w:val="24"/>
          </w:rPr>
          <w:t>освобождения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НДС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реализации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мед</w:t>
      </w:r>
      <w:r w:rsidR="00AA76C8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изделий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регистрационное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удостоверение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можно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будет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представлять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после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31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года.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Ограничение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дате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исключили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6" w:history="1">
        <w:r w:rsidRPr="000D313A">
          <w:rPr>
            <w:rFonts w:ascii="Times New Roman" w:eastAsia="Calibri" w:hAnsi="Times New Roman" w:cs="Times New Roman"/>
            <w:sz w:val="24"/>
            <w:szCs w:val="24"/>
          </w:rPr>
          <w:t>п.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1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1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313A">
        <w:rPr>
          <w:rFonts w:ascii="Times New Roman" w:eastAsia="Calibri" w:hAnsi="Times New Roman" w:cs="Times New Roman"/>
          <w:b/>
          <w:sz w:val="24"/>
          <w:szCs w:val="24"/>
        </w:rPr>
        <w:t>Налог</w:t>
      </w:r>
      <w:r w:rsidR="00B06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sz w:val="24"/>
          <w:szCs w:val="24"/>
        </w:rPr>
        <w:t>прибыль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13A">
        <w:rPr>
          <w:rFonts w:ascii="Times New Roman" w:eastAsia="Calibri" w:hAnsi="Times New Roman" w:cs="Times New Roman"/>
          <w:sz w:val="24"/>
          <w:szCs w:val="24"/>
        </w:rPr>
        <w:t>Скорректировано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том,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какие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proofErr w:type="spellStart"/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коронавирусные</w:t>
      </w:r>
      <w:proofErr w:type="spellEnd"/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субсидии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учитывает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базе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налогу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прибыль.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Теперь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это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любые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(кроме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средств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компенсацию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процентных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ставок),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получили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федерального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регионального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бюджета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субъекты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малого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среднего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бизнеса,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также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социально-ориентированные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некоммерческие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313A">
        <w:rPr>
          <w:rFonts w:ascii="Times New Roman" w:eastAsia="Calibri" w:hAnsi="Times New Roman" w:cs="Times New Roman"/>
          <w:sz w:val="24"/>
          <w:szCs w:val="24"/>
        </w:rPr>
        <w:instrText xml:space="preserve"> HYPERLINK "https://ovmf2.consultant.ru/cgi/online.cgi?req=doc;rnd=c9ddc47c28d1405089ab07825fd3a16c;base=law;n=401510;dst=100156" </w:instrText>
      </w:r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313A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0D313A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"а"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ст.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0D313A">
          <w:rPr>
            <w:rFonts w:ascii="Times New Roman" w:eastAsia="Calibri" w:hAnsi="Times New Roman" w:cs="Times New Roman"/>
            <w:sz w:val="24"/>
            <w:szCs w:val="24"/>
          </w:rPr>
          <w:t>прежней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редакции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нормы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речь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шла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тех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организациях,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включены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реестр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СМСП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марта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2020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ведут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деятельность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пострадавших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отраслях.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13A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распространили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доходы,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получили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налогового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периода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8" w:history="1">
        <w:r w:rsidRPr="000D313A">
          <w:rPr>
            <w:rFonts w:ascii="Times New Roman" w:eastAsia="Calibri" w:hAnsi="Times New Roman" w:cs="Times New Roman"/>
            <w:sz w:val="24"/>
            <w:szCs w:val="24"/>
          </w:rPr>
          <w:t>ч.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8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</w:p>
    <w:p w:rsidR="00CD28ED" w:rsidRPr="000D313A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6C8">
        <w:rPr>
          <w:rFonts w:ascii="Times New Roman" w:eastAsia="Calibri" w:hAnsi="Times New Roman" w:cs="Times New Roman"/>
          <w:b/>
          <w:sz w:val="24"/>
          <w:szCs w:val="24"/>
        </w:rPr>
        <w:t>И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зменили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правила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учета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лизинговых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платежей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Так,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если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состав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включили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выкупную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стоимость,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учета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расходах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нужно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вычесть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9" w:history="1"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п.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23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1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Минфин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ранее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0" w:history="1"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разъяснял</w:t>
        </w:r>
      </w:hyperlink>
      <w:r w:rsidR="00CD28ED" w:rsidRPr="000D313A">
        <w:rPr>
          <w:rFonts w:ascii="Times New Roman" w:eastAsia="Calibri" w:hAnsi="Times New Roman" w:cs="Times New Roman"/>
          <w:sz w:val="24"/>
          <w:szCs w:val="24"/>
        </w:rPr>
        <w:t>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что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выкупную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цену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таком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случае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нужно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считать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авансовыми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платежами.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Новые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применяются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договорам,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действуют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дату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вступления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силу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поправок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11" w:history="1"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ч.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1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</w:p>
    <w:p w:rsidR="00CD28ED" w:rsidRPr="000D313A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6C8">
        <w:rPr>
          <w:rFonts w:ascii="Times New Roman" w:eastAsia="Calibri" w:hAnsi="Times New Roman" w:cs="Times New Roman"/>
          <w:b/>
          <w:sz w:val="24"/>
          <w:szCs w:val="24"/>
        </w:rPr>
        <w:t>Б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ольше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не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будет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специальных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правил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bCs/>
          <w:sz w:val="24"/>
          <w:szCs w:val="24"/>
        </w:rPr>
        <w:t>амортизации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предметов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лизинга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2" w:history="1"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Сейчас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амортизирует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имущество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тот,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учитывает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объект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договору.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эту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норму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исключают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13" w:history="1"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п.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21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1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Значит,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применять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нужно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общий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порядок: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расходы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содержание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имущества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4" w:history="1"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несет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арендодатель.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Однако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эти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правила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распространяются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договоры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лизинга,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действуют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дату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вступления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силу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поправок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15" w:history="1"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ч.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1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2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313A">
        <w:rPr>
          <w:rFonts w:ascii="Times New Roman" w:eastAsia="Calibri" w:hAnsi="Times New Roman" w:cs="Times New Roman"/>
          <w:b/>
          <w:sz w:val="24"/>
          <w:szCs w:val="24"/>
        </w:rPr>
        <w:t>НДФЛ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13A">
        <w:rPr>
          <w:rFonts w:ascii="Times New Roman" w:eastAsia="Calibri" w:hAnsi="Times New Roman" w:cs="Times New Roman"/>
          <w:sz w:val="24"/>
          <w:szCs w:val="24"/>
        </w:rPr>
        <w:t>Освобождаются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НДФЛ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доходы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семей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детьми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продажи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жилья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независимо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того,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сколько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времени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было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собственности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16" w:history="1">
        <w:r w:rsidRPr="000D313A">
          <w:rPr>
            <w:rFonts w:ascii="Times New Roman" w:eastAsia="Calibri" w:hAnsi="Times New Roman" w:cs="Times New Roman"/>
            <w:sz w:val="24"/>
            <w:szCs w:val="24"/>
          </w:rPr>
          <w:t>п.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18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1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Правило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соблюдении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ряда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условий,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среди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которых:</w:t>
      </w:r>
    </w:p>
    <w:p w:rsidR="00CD28ED" w:rsidRPr="000D313A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семье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менее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детей;</w:t>
      </w:r>
    </w:p>
    <w:p w:rsidR="00CD28ED" w:rsidRPr="000D313A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этом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же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году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либо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30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следующего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купили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новое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жилье;</w:t>
      </w:r>
    </w:p>
    <w:p w:rsidR="00CD28ED" w:rsidRPr="000D313A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общая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площадь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кадастровая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стоимость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купленного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объекта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превышает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показатели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проданного.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13A">
        <w:rPr>
          <w:rFonts w:ascii="Times New Roman" w:eastAsia="Calibri" w:hAnsi="Times New Roman" w:cs="Times New Roman"/>
          <w:sz w:val="24"/>
          <w:szCs w:val="24"/>
        </w:rPr>
        <w:t>Действие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данного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порядка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распространили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налоговые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периоды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CD28ED" w:rsidRPr="000D313A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A76C8">
        <w:rPr>
          <w:rFonts w:ascii="Times New Roman" w:eastAsia="Calibri" w:hAnsi="Times New Roman" w:cs="Times New Roman"/>
          <w:b/>
          <w:sz w:val="24"/>
          <w:szCs w:val="24"/>
        </w:rPr>
        <w:t>Освобождается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от</w:t>
      </w:r>
      <w:r w:rsidR="00B0608E" w:rsidRPr="00AA76C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CD28ED" w:rsidRPr="00AA76C8">
        <w:rPr>
          <w:rFonts w:ascii="Times New Roman" w:eastAsia="Calibri" w:hAnsi="Times New Roman" w:cs="Times New Roman"/>
          <w:b/>
          <w:sz w:val="24"/>
          <w:szCs w:val="24"/>
        </w:rPr>
        <w:t>НДФЛ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оплат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а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труда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работников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рамках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proofErr w:type="spellStart"/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коронавирусных</w:t>
      </w:r>
      <w:proofErr w:type="spellEnd"/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"</w:t>
      </w:r>
      <w:r w:rsidR="00B0608E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b/>
          <w:bCs/>
          <w:sz w:val="24"/>
          <w:szCs w:val="24"/>
        </w:rPr>
        <w:t>субсидий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="00CD28ED" w:rsidRPr="000D313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instrText xml:space="preserve"> HYPERLINK "https://ovmf2.consultant.ru/cgi/online.cgi?req=doc;rnd=c9ddc47c28d1405089ab07825fd3a16c;base=law;n=401510;dst=100139" </w:instrTex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="00CD28ED" w:rsidRPr="000D313A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"б"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17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ст.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Речь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идет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выплатах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работодателями,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получили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нерабочие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дни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октябре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ноябре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ограничения,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числе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введением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QR-кодов.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Правило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можно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применить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один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месяце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субсидии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следующем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ним.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Размер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дохода,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освобожденного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НДФЛ,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ограничили: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более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12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792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руб.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Аналогичное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правило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ввели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взносов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17" w:history="1"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п.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53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CD28ED" w:rsidRPr="000D313A">
          <w:rPr>
            <w:rFonts w:ascii="Times New Roman" w:eastAsia="Calibri" w:hAnsi="Times New Roman" w:cs="Times New Roman"/>
            <w:sz w:val="24"/>
            <w:szCs w:val="24"/>
          </w:rPr>
          <w:t>1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Кроме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того,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нужно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облагать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налогом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призы,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получают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мероприятий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стимулирования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вакцинации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коронавируса</w:t>
      </w:r>
      <w:proofErr w:type="spellEnd"/>
      <w:r w:rsidR="00CD28ED" w:rsidRPr="000D313A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равила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распространили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доходы,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которые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получены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начала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D28ED" w:rsidRPr="000D313A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CD28ED" w:rsidRPr="00E5720D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20D">
        <w:rPr>
          <w:rFonts w:ascii="Times New Roman" w:eastAsia="Calibri" w:hAnsi="Times New Roman" w:cs="Times New Roman"/>
          <w:b/>
          <w:sz w:val="24"/>
          <w:szCs w:val="24"/>
        </w:rPr>
        <w:t>Налог</w:t>
      </w:r>
      <w:r w:rsidR="00B06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b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b/>
          <w:sz w:val="24"/>
          <w:szCs w:val="24"/>
        </w:rPr>
        <w:t>имущество</w:t>
      </w:r>
      <w:r w:rsidR="00B06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b/>
          <w:sz w:val="24"/>
          <w:szCs w:val="24"/>
        </w:rPr>
        <w:t>организаций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13A">
        <w:rPr>
          <w:rFonts w:ascii="Times New Roman" w:eastAsia="Calibri" w:hAnsi="Times New Roman" w:cs="Times New Roman"/>
          <w:sz w:val="24"/>
          <w:szCs w:val="24"/>
        </w:rPr>
        <w:t>Во-первых,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налог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предмету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аренды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лизинга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должна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платить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передающая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сторона,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т.е.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арендодатель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лизингодатель.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Такое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правило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закрепляют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313A">
        <w:rPr>
          <w:rFonts w:ascii="Times New Roman" w:eastAsia="Calibri" w:hAnsi="Times New Roman" w:cs="Times New Roman"/>
          <w:sz w:val="24"/>
          <w:szCs w:val="24"/>
        </w:rPr>
        <w:instrText xml:space="preserve"> HYPERLINK "https://ovmf2.consultant.ru/cgi/online.cgi?req=doc;rnd=c9ddc47c28d1405089ab07825fd3a16c;base=law;n=401510;dst=100420" </w:instrText>
      </w:r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313A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0D313A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"б"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49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ст.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Pr="000D313A">
        <w:rPr>
          <w:rFonts w:ascii="Times New Roman" w:eastAsia="Calibri" w:hAnsi="Times New Roman" w:cs="Times New Roman"/>
          <w:sz w:val="24"/>
          <w:szCs w:val="24"/>
        </w:rPr>
        <w:t>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8" w:history="1">
        <w:r w:rsidRPr="000D313A">
          <w:rPr>
            <w:rFonts w:ascii="Times New Roman" w:eastAsia="Calibri" w:hAnsi="Times New Roman" w:cs="Times New Roman"/>
            <w:sz w:val="24"/>
            <w:szCs w:val="24"/>
          </w:rPr>
          <w:t>ч.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13A">
        <w:rPr>
          <w:rFonts w:ascii="Times New Roman" w:eastAsia="Calibri" w:hAnsi="Times New Roman" w:cs="Times New Roman"/>
          <w:sz w:val="24"/>
          <w:szCs w:val="24"/>
        </w:rPr>
        <w:lastRenderedPageBreak/>
        <w:t>Во-вторых,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регионы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смогут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дифференцировать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ставки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категориям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налогоплательщиков.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Различия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могут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быть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виду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недвижимости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его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кадастровой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стоимости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313A">
        <w:rPr>
          <w:rFonts w:ascii="Times New Roman" w:eastAsia="Calibri" w:hAnsi="Times New Roman" w:cs="Times New Roman"/>
          <w:sz w:val="24"/>
          <w:szCs w:val="24"/>
        </w:rPr>
        <w:instrText xml:space="preserve"> HYPERLINK "https://ovmf2.consultant.ru/cgi/online.cgi?req=doc;rnd=c9ddc47c28d1405089ab07825fd3a16c;base=law;n=401510;dst=100423" </w:instrText>
      </w:r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313A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0D313A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"а"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50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ст.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Положение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вступит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силу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2023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CD28ED" w:rsidRPr="00E5720D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5720D">
        <w:rPr>
          <w:rFonts w:ascii="Times New Roman" w:eastAsia="Calibri" w:hAnsi="Times New Roman" w:cs="Times New Roman"/>
          <w:b/>
          <w:sz w:val="24"/>
          <w:szCs w:val="24"/>
        </w:rPr>
        <w:t>Транспортный</w:t>
      </w:r>
      <w:r w:rsidR="00B0608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b/>
          <w:sz w:val="24"/>
          <w:szCs w:val="24"/>
        </w:rPr>
        <w:t>налог</w:t>
      </w:r>
    </w:p>
    <w:p w:rsidR="00CD28ED" w:rsidRPr="000D313A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313A">
        <w:rPr>
          <w:rFonts w:ascii="Times New Roman" w:eastAsia="Calibri" w:hAnsi="Times New Roman" w:cs="Times New Roman"/>
          <w:sz w:val="24"/>
          <w:szCs w:val="24"/>
        </w:rPr>
        <w:t>Представить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пояснения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сообщению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об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исчисленном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налоге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можно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течение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дней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дня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получения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документа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</w:t>
      </w:r>
      <w:proofErr w:type="spellStart"/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0D313A">
        <w:rPr>
          <w:rFonts w:ascii="Times New Roman" w:eastAsia="Calibri" w:hAnsi="Times New Roman" w:cs="Times New Roman"/>
          <w:sz w:val="24"/>
          <w:szCs w:val="24"/>
        </w:rPr>
        <w:instrText xml:space="preserve"> HYPERLINK "https://ovmf2.consultant.ru/cgi/online.cgi?req=doc;rnd=c9ddc47c28d1405089ab07825fd3a16c;base=law;n=401510;dst=100407" </w:instrText>
      </w:r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0D313A">
        <w:rPr>
          <w:rFonts w:ascii="Times New Roman" w:eastAsia="Calibri" w:hAnsi="Times New Roman" w:cs="Times New Roman"/>
          <w:sz w:val="24"/>
          <w:szCs w:val="24"/>
        </w:rPr>
        <w:t>пп</w:t>
      </w:r>
      <w:proofErr w:type="spellEnd"/>
      <w:r w:rsidRPr="000D313A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"б"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47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ст.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Pr="000D313A">
        <w:rPr>
          <w:rFonts w:ascii="Times New Roman" w:eastAsia="Calibri" w:hAnsi="Times New Roman" w:cs="Times New Roman"/>
          <w:sz w:val="24"/>
          <w:szCs w:val="24"/>
        </w:rPr>
        <w:fldChar w:fldCharType="end"/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19" w:history="1">
        <w:r w:rsidRPr="000D313A">
          <w:rPr>
            <w:rFonts w:ascii="Times New Roman" w:eastAsia="Calibri" w:hAnsi="Times New Roman" w:cs="Times New Roman"/>
            <w:sz w:val="24"/>
            <w:szCs w:val="24"/>
          </w:rPr>
          <w:t>прежней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редакции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нормы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это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дано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10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дней.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Правило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вступит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силу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(</w:t>
      </w:r>
      <w:hyperlink r:id="rId20" w:history="1">
        <w:r w:rsidRPr="000D313A">
          <w:rPr>
            <w:rFonts w:ascii="Times New Roman" w:eastAsia="Calibri" w:hAnsi="Times New Roman" w:cs="Times New Roman"/>
            <w:sz w:val="24"/>
            <w:szCs w:val="24"/>
          </w:rPr>
          <w:t>ч.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3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ст.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0D313A">
          <w:rPr>
            <w:rFonts w:ascii="Times New Roman" w:eastAsia="Calibri" w:hAnsi="Times New Roman" w:cs="Times New Roman"/>
            <w:sz w:val="24"/>
            <w:szCs w:val="24"/>
          </w:rPr>
          <w:t>3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0D313A">
        <w:rPr>
          <w:rFonts w:ascii="Times New Roman" w:eastAsia="Calibri" w:hAnsi="Times New Roman" w:cs="Times New Roman"/>
          <w:sz w:val="24"/>
          <w:szCs w:val="24"/>
        </w:rPr>
        <w:t>закона).</w:t>
      </w:r>
    </w:p>
    <w:p w:rsidR="00CD28ED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08E" w:rsidRPr="00BE7BB0" w:rsidRDefault="00B0608E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BB0">
        <w:rPr>
          <w:rFonts w:ascii="Times New Roman" w:eastAsia="Calibri" w:hAnsi="Times New Roman" w:cs="Times New Roman"/>
          <w:b/>
          <w:sz w:val="28"/>
          <w:szCs w:val="28"/>
        </w:rPr>
        <w:t>Стандарты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BB0">
        <w:rPr>
          <w:rFonts w:ascii="Times New Roman" w:eastAsia="Calibri" w:hAnsi="Times New Roman" w:cs="Times New Roman"/>
          <w:b/>
          <w:sz w:val="28"/>
          <w:szCs w:val="28"/>
        </w:rPr>
        <w:t>бухучета</w:t>
      </w:r>
    </w:p>
    <w:p w:rsidR="00B0608E" w:rsidRPr="00BE7BB0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При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составлении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учетной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политики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будущий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год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нужно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учесть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новые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ФСБУ.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января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2022 года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вводят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стандарты:</w:t>
      </w:r>
    </w:p>
    <w:p w:rsidR="00B0608E" w:rsidRPr="00BE7BB0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21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25/2018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"Бухгалтерский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учет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аренды"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(он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появился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еще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конце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2018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года,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было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необязательно);</w:t>
      </w:r>
    </w:p>
    <w:p w:rsidR="00B0608E" w:rsidRPr="00BE7BB0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22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6/2020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"Основные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средства";</w:t>
      </w:r>
    </w:p>
    <w:p w:rsidR="00B0608E" w:rsidRPr="00BE7BB0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23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26/2020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"Капитальные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вложения";</w:t>
      </w:r>
    </w:p>
    <w:p w:rsidR="00B0608E" w:rsidRPr="00BE7BB0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- </w:t>
      </w:r>
      <w:hyperlink r:id="rId24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27/2021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"Документы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документооборот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бухгалтерском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учете"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(</w:t>
      </w:r>
      <w:hyperlink r:id="rId25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требование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хранить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документы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бухучета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только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России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6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могут</w:t>
        </w:r>
        <w:r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BE7BB0">
          <w:rPr>
            <w:rFonts w:ascii="Times New Roman" w:eastAsia="Calibri" w:hAnsi="Times New Roman" w:cs="Times New Roman"/>
            <w:sz w:val="24"/>
            <w:szCs w:val="24"/>
          </w:rPr>
          <w:t>отложить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год).</w:t>
      </w:r>
    </w:p>
    <w:p w:rsidR="00B0608E" w:rsidRPr="000D313A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E" w:rsidRDefault="00B43B8E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5720D">
        <w:rPr>
          <w:rFonts w:ascii="Times New Roman" w:eastAsia="Calibri" w:hAnsi="Times New Roman" w:cs="Times New Roman"/>
          <w:b/>
          <w:sz w:val="28"/>
          <w:szCs w:val="28"/>
        </w:rPr>
        <w:t>МРОТ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720D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720D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E5720D">
        <w:rPr>
          <w:rFonts w:ascii="Times New Roman" w:eastAsia="Calibri" w:hAnsi="Times New Roman" w:cs="Times New Roman"/>
          <w:b/>
          <w:sz w:val="28"/>
          <w:szCs w:val="28"/>
        </w:rPr>
        <w:t>году</w:t>
      </w:r>
    </w:p>
    <w:p w:rsidR="00E5720D" w:rsidRPr="00E5720D" w:rsidRDefault="00E5720D" w:rsidP="00B0608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МРОТ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составит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13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890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рублей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месяц.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Соответствующий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7" w:tgtFrame="_blank" w:history="1">
        <w:r w:rsidRPr="00E5720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Госдума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приняла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третьем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чтении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24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(</w:t>
      </w:r>
      <w:hyperlink r:id="rId28" w:history="1">
        <w:r w:rsidRPr="00E5720D">
          <w:rPr>
            <w:rFonts w:ascii="Times New Roman" w:eastAsia="Calibri" w:hAnsi="Times New Roman" w:cs="Times New Roman"/>
            <w:sz w:val="24"/>
            <w:szCs w:val="24"/>
          </w:rPr>
          <w:t>Проект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E5720D">
          <w:rPr>
            <w:rFonts w:ascii="Times New Roman" w:eastAsia="Calibri" w:hAnsi="Times New Roman" w:cs="Times New Roman"/>
            <w:sz w:val="24"/>
            <w:szCs w:val="24"/>
          </w:rPr>
          <w:t>Федерального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E5720D">
          <w:rPr>
            <w:rFonts w:ascii="Times New Roman" w:eastAsia="Calibri" w:hAnsi="Times New Roman" w:cs="Times New Roman"/>
            <w:sz w:val="24"/>
            <w:szCs w:val="24"/>
          </w:rPr>
          <w:t>закона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E5720D">
          <w:rPr>
            <w:rFonts w:ascii="Times New Roman" w:eastAsia="Calibri" w:hAnsi="Times New Roman" w:cs="Times New Roman"/>
            <w:sz w:val="24"/>
            <w:szCs w:val="24"/>
          </w:rPr>
          <w:t>N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E5720D">
          <w:rPr>
            <w:rFonts w:ascii="Times New Roman" w:eastAsia="Calibri" w:hAnsi="Times New Roman" w:cs="Times New Roman"/>
            <w:sz w:val="24"/>
            <w:szCs w:val="24"/>
          </w:rPr>
          <w:t>1258300-7</w:t>
        </w:r>
      </w:hyperlink>
      <w:r w:rsidRPr="00E5720D">
        <w:rPr>
          <w:rFonts w:ascii="Times New Roman" w:eastAsia="Calibri" w:hAnsi="Times New Roman" w:cs="Times New Roman"/>
          <w:sz w:val="24"/>
          <w:szCs w:val="24"/>
        </w:rPr>
        <w:t>).</w:t>
      </w:r>
    </w:p>
    <w:p w:rsidR="00CD28ED" w:rsidRPr="00E5720D" w:rsidRDefault="00CD28ED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5720D" w:rsidRPr="00B0608E" w:rsidRDefault="00E5720D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08E">
        <w:rPr>
          <w:rFonts w:ascii="Times New Roman" w:eastAsia="Calibri" w:hAnsi="Times New Roman" w:cs="Times New Roman"/>
          <w:b/>
          <w:sz w:val="28"/>
          <w:szCs w:val="28"/>
        </w:rPr>
        <w:t>Правительство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утвердило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предельные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размеры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баз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по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взносам</w:t>
      </w:r>
    </w:p>
    <w:p w:rsidR="00E5720D" w:rsidRPr="00B0608E" w:rsidRDefault="00E5720D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08E">
        <w:rPr>
          <w:rFonts w:ascii="Times New Roman" w:eastAsia="Calibri" w:hAnsi="Times New Roman" w:cs="Times New Roman"/>
          <w:b/>
          <w:sz w:val="28"/>
          <w:szCs w:val="28"/>
        </w:rPr>
        <w:t>на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2022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год</w:t>
      </w:r>
    </w:p>
    <w:p w:rsidR="00CD28ED" w:rsidRPr="00E5720D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Документ: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Правительства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РФ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16.11.2021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5720D">
        <w:rPr>
          <w:rFonts w:ascii="Times New Roman" w:eastAsia="Calibri" w:hAnsi="Times New Roman" w:cs="Times New Roman"/>
          <w:sz w:val="24"/>
          <w:szCs w:val="24"/>
        </w:rPr>
        <w:t>№</w:t>
      </w:r>
      <w:r w:rsidRPr="00E5720D">
        <w:rPr>
          <w:rFonts w:ascii="Times New Roman" w:eastAsia="Calibri" w:hAnsi="Times New Roman" w:cs="Times New Roman"/>
          <w:sz w:val="24"/>
          <w:szCs w:val="24"/>
        </w:rPr>
        <w:t>1951</w:t>
      </w:r>
    </w:p>
    <w:p w:rsidR="00290005" w:rsidRPr="00E5720D" w:rsidRDefault="00290005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Базы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начисления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страховых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взносов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проиндексировали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1,069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роста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средней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зарплаты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стране.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следующем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году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лимиты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составят:</w:t>
      </w:r>
    </w:p>
    <w:p w:rsidR="00290005" w:rsidRPr="00290005" w:rsidRDefault="00E5720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29" w:history="1"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1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032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тыс.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руб.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—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взносов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временной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нетрудоспособности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связи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материнством;</w:t>
      </w:r>
    </w:p>
    <w:p w:rsidR="00290005" w:rsidRPr="00290005" w:rsidRDefault="00E5720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0" w:history="1"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1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565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тыс.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руб.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—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пенсионных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взносов.</w:t>
      </w:r>
    </w:p>
    <w:p w:rsidR="00290005" w:rsidRPr="00290005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Е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сли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выплаты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пользу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физлица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начала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превысили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пороговое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значение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базы,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общему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правилу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страхователь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должен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платить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пенсионные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взносы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1" w:history="1"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тарифу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10%</w:t>
        </w:r>
      </w:hyperlink>
      <w:r w:rsidR="00290005" w:rsidRPr="00290005">
        <w:rPr>
          <w:rFonts w:ascii="Times New Roman" w:eastAsia="Calibri" w:hAnsi="Times New Roman" w:cs="Times New Roman"/>
          <w:sz w:val="24"/>
          <w:szCs w:val="24"/>
        </w:rPr>
        <w:t>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"больничные"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взносы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перечислять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90005" w:rsidRPr="00290005">
        <w:rPr>
          <w:rFonts w:ascii="Times New Roman" w:eastAsia="Calibri" w:hAnsi="Times New Roman" w:cs="Times New Roman"/>
          <w:sz w:val="24"/>
          <w:szCs w:val="24"/>
        </w:rPr>
        <w:t>вообще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2" w:history="1"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не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290005" w:rsidRPr="00E5720D">
          <w:rPr>
            <w:rFonts w:ascii="Times New Roman" w:eastAsia="Calibri" w:hAnsi="Times New Roman" w:cs="Times New Roman"/>
            <w:sz w:val="24"/>
            <w:szCs w:val="24"/>
          </w:rPr>
          <w:t>нужно</w:t>
        </w:r>
      </w:hyperlink>
      <w:r w:rsidR="00290005" w:rsidRPr="00290005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5720D" w:rsidRDefault="00E5720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0608E" w:rsidRDefault="00E5720D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08E">
        <w:rPr>
          <w:rFonts w:ascii="Times New Roman" w:eastAsia="Calibri" w:hAnsi="Times New Roman" w:cs="Times New Roman"/>
          <w:b/>
          <w:sz w:val="28"/>
          <w:szCs w:val="28"/>
        </w:rPr>
        <w:t>Правительство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определило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перечень документов </w:t>
      </w:r>
    </w:p>
    <w:p w:rsidR="00E5720D" w:rsidRPr="00B0608E" w:rsidRDefault="00B0608E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720D" w:rsidRPr="00B0608E">
        <w:rPr>
          <w:rFonts w:ascii="Times New Roman" w:eastAsia="Calibri" w:hAnsi="Times New Roman" w:cs="Times New Roman"/>
          <w:b/>
          <w:sz w:val="28"/>
          <w:szCs w:val="28"/>
        </w:rPr>
        <w:t>назначени</w:t>
      </w:r>
      <w:r>
        <w:rPr>
          <w:rFonts w:ascii="Times New Roman" w:eastAsia="Calibri" w:hAnsi="Times New Roman" w:cs="Times New Roman"/>
          <w:b/>
          <w:sz w:val="28"/>
          <w:szCs w:val="28"/>
        </w:rPr>
        <w:t>я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E5720D" w:rsidRPr="00B0608E">
        <w:rPr>
          <w:rFonts w:ascii="Times New Roman" w:eastAsia="Calibri" w:hAnsi="Times New Roman" w:cs="Times New Roman"/>
          <w:b/>
          <w:sz w:val="28"/>
          <w:szCs w:val="28"/>
        </w:rPr>
        <w:t>пособий</w:t>
      </w:r>
    </w:p>
    <w:p w:rsidR="00CD28ED" w:rsidRPr="00E5720D" w:rsidRDefault="00CD28E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Документ: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Постановление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Правительства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РФ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23.11.2021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N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2010</w:t>
      </w:r>
    </w:p>
    <w:p w:rsidR="00CD28ED" w:rsidRPr="00E5720D" w:rsidRDefault="0076665C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Утвердили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правила,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которым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ФСС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получает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сведения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назначения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пособий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больничному,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беременности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родам,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рождении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ребенка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уходу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ним.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Документ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приняли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из-за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окончательного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перехода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прямые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выплаты.</w:t>
      </w:r>
    </w:p>
    <w:p w:rsidR="00290005" w:rsidRPr="00E5720D" w:rsidRDefault="00290005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43B8E" w:rsidRPr="00B0608E" w:rsidRDefault="00E5720D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08E">
        <w:rPr>
          <w:rFonts w:ascii="Times New Roman" w:eastAsia="Calibri" w:hAnsi="Times New Roman" w:cs="Times New Roman"/>
          <w:b/>
          <w:sz w:val="28"/>
          <w:szCs w:val="28"/>
        </w:rPr>
        <w:t>Для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ИП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и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организаций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введут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единый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налоговый</w:t>
      </w:r>
      <w:r w:rsidR="00B0608E"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0608E">
        <w:rPr>
          <w:rFonts w:ascii="Times New Roman" w:eastAsia="Calibri" w:hAnsi="Times New Roman" w:cs="Times New Roman"/>
          <w:b/>
          <w:sz w:val="28"/>
          <w:szCs w:val="28"/>
        </w:rPr>
        <w:t>платеж</w:t>
      </w:r>
    </w:p>
    <w:p w:rsidR="00E5720D" w:rsidRPr="00E5720D" w:rsidRDefault="00E5720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Документ: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Федеральный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закон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29.11.2021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N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379-ФЗ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"О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внесении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изменений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часть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первую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Налогового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кодекса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Российской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Федерации"</w:t>
      </w:r>
    </w:p>
    <w:p w:rsidR="00B43B8E" w:rsidRPr="00B43B8E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E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июля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индивидуальные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предприниматели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смогут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добровольно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перейти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особый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уплаты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—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единого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платежа.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Соответствующий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3" w:tgtFrame="_blank" w:history="1">
        <w:r w:rsidRPr="00E5720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принят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Госдумой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одобрен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Советом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Федерации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прошлой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неделе.</w:t>
      </w:r>
    </w:p>
    <w:p w:rsidR="00B43B8E" w:rsidRPr="00B43B8E" w:rsidRDefault="00E5720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2019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единый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налоговый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платеж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был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введен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физических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лиц.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Граждане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могут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перечислять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«имущественные»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налоги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(налог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имущество,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транспортный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земельный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налоги)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единым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платежом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заранее,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дожидаясь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налогового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уведомления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lastRenderedPageBreak/>
        <w:t>Достаточно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внести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один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платеж,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налоговая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самостоятельно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разнесет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необходимые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суммы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счетам,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когда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наступят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сроки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уплаты.</w:t>
      </w:r>
    </w:p>
    <w:p w:rsidR="00B43B8E" w:rsidRPr="00B43B8E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E">
        <w:rPr>
          <w:rFonts w:ascii="Times New Roman" w:eastAsia="Calibri" w:hAnsi="Times New Roman" w:cs="Times New Roman"/>
          <w:sz w:val="24"/>
          <w:szCs w:val="24"/>
        </w:rPr>
        <w:t>Со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следующего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аналогичная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система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будет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действовать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организаций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ИП.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параметры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определены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новой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статьей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45.2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кодекса.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Единый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платеж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(ЕНП)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—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это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внесенная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налогоплательщиком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сумма,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которую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орган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будет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сам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распределять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счет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уплаты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налогов,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сборов,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взносов,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пеней,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штрафов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(или)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процентов.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Перечислить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ЕНП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смогут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предприниматели,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которые:</w:t>
      </w:r>
    </w:p>
    <w:p w:rsidR="00B43B8E" w:rsidRPr="00B43B8E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запросили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сверку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расчетов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налогам,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сборам,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взносам,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пеням,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штрафам,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процентам,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результате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которой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выявлено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разногласий;</w:t>
      </w:r>
    </w:p>
    <w:p w:rsidR="00B43B8E" w:rsidRPr="00B43B8E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30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апреля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года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(но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позднее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одного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месяца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после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сверки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расчетов)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подали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заявление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переходе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ЕНП.</w:t>
      </w:r>
    </w:p>
    <w:p w:rsidR="00B43B8E" w:rsidRPr="00B43B8E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E">
        <w:rPr>
          <w:rFonts w:ascii="Times New Roman" w:eastAsia="Calibri" w:hAnsi="Times New Roman" w:cs="Times New Roman"/>
          <w:sz w:val="24"/>
          <w:szCs w:val="24"/>
        </w:rPr>
        <w:t>Согласно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комментируемому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закону,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ИП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смогут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перечислять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ЕНП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июля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31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года.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итогам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этого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эксперимента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станет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понятно,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продлят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уплаты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налогов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после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года.</w:t>
      </w:r>
    </w:p>
    <w:p w:rsidR="00B43B8E" w:rsidRDefault="00B43B8E" w:rsidP="00B0608E">
      <w:pPr>
        <w:spacing w:after="0" w:line="240" w:lineRule="auto"/>
        <w:rPr>
          <w:rFonts w:ascii="PT Serif" w:hAnsi="PT Serif"/>
          <w:b/>
          <w:color w:val="000000"/>
          <w:sz w:val="32"/>
          <w:szCs w:val="32"/>
          <w:shd w:val="clear" w:color="auto" w:fill="FFFFFF"/>
        </w:rPr>
      </w:pPr>
    </w:p>
    <w:p w:rsidR="00AA76C8" w:rsidRDefault="00B0608E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08E">
        <w:rPr>
          <w:rFonts w:ascii="Times New Roman" w:eastAsia="Calibri" w:hAnsi="Times New Roman" w:cs="Times New Roman"/>
          <w:b/>
          <w:sz w:val="28"/>
          <w:szCs w:val="28"/>
        </w:rPr>
        <w:t xml:space="preserve">Приказ о приеме на работу </w:t>
      </w:r>
    </w:p>
    <w:p w:rsidR="00B0608E" w:rsidRPr="00B0608E" w:rsidRDefault="00B0608E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0608E">
        <w:rPr>
          <w:rFonts w:ascii="Times New Roman" w:eastAsia="Calibri" w:hAnsi="Times New Roman" w:cs="Times New Roman"/>
          <w:b/>
          <w:sz w:val="28"/>
          <w:szCs w:val="28"/>
        </w:rPr>
        <w:t>не будет являться обязательным документом</w:t>
      </w:r>
    </w:p>
    <w:p w:rsidR="00B0608E" w:rsidRPr="00E5720D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Работодателям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разрешили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оформлять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E5720D">
        <w:rPr>
          <w:rFonts w:ascii="Times New Roman" w:eastAsia="Calibri" w:hAnsi="Times New Roman" w:cs="Times New Roman"/>
          <w:sz w:val="24"/>
          <w:szCs w:val="24"/>
        </w:rPr>
        <w:t>Это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следует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редакции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статьи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4" w:anchor="h5095" w:tgtFrame="_blank" w:history="1">
        <w:r w:rsidRPr="00E5720D">
          <w:rPr>
            <w:rFonts w:ascii="Times New Roman" w:eastAsia="Calibri" w:hAnsi="Times New Roman" w:cs="Times New Roman"/>
            <w:sz w:val="24"/>
            <w:szCs w:val="24"/>
          </w:rPr>
          <w:t>68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Трудового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кодекса.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Соответствующий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5" w:tgtFrame="_blank" w:history="1">
        <w:r w:rsidRPr="00E5720D">
          <w:rPr>
            <w:rFonts w:ascii="Times New Roman" w:eastAsia="Calibri" w:hAnsi="Times New Roman" w:cs="Times New Roman"/>
            <w:sz w:val="24"/>
            <w:szCs w:val="24"/>
          </w:rPr>
          <w:t>закон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Госдума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РФ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приняла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третьем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чтении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17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ноября.</w:t>
      </w:r>
    </w:p>
    <w:p w:rsidR="00B0608E" w:rsidRPr="00E5720D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Pr="00E5720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действующим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правилам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оформляется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приказом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(распоряжением)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работодателя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Т-1.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издается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основании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заключенного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трудового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(ч.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ст.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6" w:anchor="h5095" w:tgtFrame="_blank" w:history="1">
        <w:r w:rsidRPr="00E5720D">
          <w:rPr>
            <w:rFonts w:ascii="Times New Roman" w:eastAsia="Calibri" w:hAnsi="Times New Roman" w:cs="Times New Roman"/>
            <w:sz w:val="24"/>
            <w:szCs w:val="24"/>
          </w:rPr>
          <w:t>68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РФ).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форме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должно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соответствовать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трудового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договора.</w:t>
      </w:r>
    </w:p>
    <w:p w:rsidR="00B0608E" w:rsidRDefault="00B060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5720D">
        <w:rPr>
          <w:rFonts w:ascii="Times New Roman" w:eastAsia="Calibri" w:hAnsi="Times New Roman" w:cs="Times New Roman"/>
          <w:sz w:val="24"/>
          <w:szCs w:val="24"/>
        </w:rPr>
        <w:t>Согласно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принятому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закону,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новой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редакции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этой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нормы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будет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прописано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следующее: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«Прием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работу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оформляется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трудовым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договором.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Работодатель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вправе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издать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основании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заключенного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трудового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договора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приказ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(распоряжение)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приеме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работу.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Содержание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(распоряжения)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работодателя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должно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соответствовать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условиям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заключенного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трудового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договора».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есть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издание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приказа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Т-1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становится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правом,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не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обязанностью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работодателя.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Изменения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вступят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в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силу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дня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официального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опубликования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закона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(оно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состоится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после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того,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как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закон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будет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одобрен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Советом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Федерации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подписан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президентом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5720D">
        <w:rPr>
          <w:rFonts w:ascii="Times New Roman" w:eastAsia="Calibri" w:hAnsi="Times New Roman" w:cs="Times New Roman"/>
          <w:sz w:val="24"/>
          <w:szCs w:val="24"/>
        </w:rPr>
        <w:t>РФ).</w:t>
      </w:r>
    </w:p>
    <w:p w:rsidR="00B0608E" w:rsidRDefault="00B0608E" w:rsidP="00B0608E">
      <w:pPr>
        <w:spacing w:after="0" w:line="240" w:lineRule="auto"/>
        <w:rPr>
          <w:rFonts w:ascii="PT Serif" w:hAnsi="PT Serif"/>
          <w:b/>
          <w:color w:val="000000"/>
          <w:sz w:val="32"/>
          <w:szCs w:val="32"/>
          <w:shd w:val="clear" w:color="auto" w:fill="FFFFFF"/>
        </w:rPr>
      </w:pPr>
    </w:p>
    <w:p w:rsidR="00E5720D" w:rsidRPr="00BE7BB0" w:rsidRDefault="00E5720D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E7BB0">
        <w:rPr>
          <w:rFonts w:ascii="Times New Roman" w:eastAsia="Calibri" w:hAnsi="Times New Roman" w:cs="Times New Roman"/>
          <w:b/>
          <w:sz w:val="28"/>
          <w:szCs w:val="28"/>
        </w:rPr>
        <w:t>Электронные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E7BB0">
        <w:rPr>
          <w:rFonts w:ascii="Times New Roman" w:eastAsia="Calibri" w:hAnsi="Times New Roman" w:cs="Times New Roman"/>
          <w:b/>
          <w:sz w:val="28"/>
          <w:szCs w:val="28"/>
        </w:rPr>
        <w:t>подписи</w:t>
      </w:r>
    </w:p>
    <w:p w:rsidR="00E5720D" w:rsidRPr="00BE7BB0" w:rsidRDefault="00E5720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января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подписи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коммерческой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7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можно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BE7BB0">
          <w:rPr>
            <w:rFonts w:ascii="Times New Roman" w:eastAsia="Calibri" w:hAnsi="Times New Roman" w:cs="Times New Roman"/>
            <w:sz w:val="24"/>
            <w:szCs w:val="24"/>
          </w:rPr>
          <w:t>будет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BE7BB0">
          <w:rPr>
            <w:rFonts w:ascii="Times New Roman" w:eastAsia="Calibri" w:hAnsi="Times New Roman" w:cs="Times New Roman"/>
            <w:sz w:val="24"/>
            <w:szCs w:val="24"/>
          </w:rPr>
          <w:t>получать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только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ФНС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(в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E7BB0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BE7BB0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через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доверенных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лиц).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сертификатом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сможет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лишь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тот,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действует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имени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организации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без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доверенности.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Как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правило,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гендиректор.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Платить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оформление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подписи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придется.</w:t>
      </w:r>
    </w:p>
    <w:p w:rsidR="00E5720D" w:rsidRPr="00BE7BB0" w:rsidRDefault="00E5720D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Обычные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работники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смогут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владеть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сертификатом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подписи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организации.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Они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8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будут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Pr="00BE7BB0">
          <w:rPr>
            <w:rFonts w:ascii="Times New Roman" w:eastAsia="Calibri" w:hAnsi="Times New Roman" w:cs="Times New Roman"/>
            <w:sz w:val="24"/>
            <w:szCs w:val="24"/>
          </w:rPr>
          <w:t>подписывать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служебные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личными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электронными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подписями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(их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по-прежнему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выдают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коммерческие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удостоверяющие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центры).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этого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понадобится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доверенность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организации.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должна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быть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машиночитаемой,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возможно,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данное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требование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пока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отложат.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имя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организации,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которую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коммерческий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удостоверяющий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центр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выдал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должностному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лицу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году,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39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действует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новом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году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(если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срок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истек).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Прилагать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доверенность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надо.</w:t>
      </w:r>
    </w:p>
    <w:p w:rsidR="00B43B8E" w:rsidRPr="00BE7BB0" w:rsidRDefault="00B43B8E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E7BB0" w:rsidRDefault="00B43B8E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B8E">
        <w:rPr>
          <w:rFonts w:ascii="Times New Roman" w:eastAsia="Calibri" w:hAnsi="Times New Roman" w:cs="Times New Roman"/>
          <w:b/>
          <w:sz w:val="28"/>
          <w:szCs w:val="28"/>
        </w:rPr>
        <w:t>Кадровые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B8E">
        <w:rPr>
          <w:rFonts w:ascii="Times New Roman" w:eastAsia="Calibri" w:hAnsi="Times New Roman" w:cs="Times New Roman"/>
          <w:b/>
          <w:sz w:val="28"/>
          <w:szCs w:val="28"/>
        </w:rPr>
        <w:t>документы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B8E">
        <w:rPr>
          <w:rFonts w:ascii="Times New Roman" w:eastAsia="Calibri" w:hAnsi="Times New Roman" w:cs="Times New Roman"/>
          <w:b/>
          <w:sz w:val="28"/>
          <w:szCs w:val="28"/>
        </w:rPr>
        <w:t>переводят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B8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B8E">
        <w:rPr>
          <w:rFonts w:ascii="Times New Roman" w:eastAsia="Calibri" w:hAnsi="Times New Roman" w:cs="Times New Roman"/>
          <w:b/>
          <w:sz w:val="28"/>
          <w:szCs w:val="28"/>
        </w:rPr>
        <w:t>электронный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B8E">
        <w:rPr>
          <w:rFonts w:ascii="Times New Roman" w:eastAsia="Calibri" w:hAnsi="Times New Roman" w:cs="Times New Roman"/>
          <w:b/>
          <w:sz w:val="28"/>
          <w:szCs w:val="28"/>
        </w:rPr>
        <w:t>вид: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:rsidR="00B43B8E" w:rsidRPr="00B43B8E" w:rsidRDefault="00B43B8E" w:rsidP="00B0608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B43B8E">
        <w:rPr>
          <w:rFonts w:ascii="Times New Roman" w:eastAsia="Calibri" w:hAnsi="Times New Roman" w:cs="Times New Roman"/>
          <w:b/>
          <w:sz w:val="28"/>
          <w:szCs w:val="28"/>
        </w:rPr>
        <w:t>поправки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B8E">
        <w:rPr>
          <w:rFonts w:ascii="Times New Roman" w:eastAsia="Calibri" w:hAnsi="Times New Roman" w:cs="Times New Roman"/>
          <w:b/>
          <w:sz w:val="28"/>
          <w:szCs w:val="28"/>
        </w:rPr>
        <w:t>в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B8E">
        <w:rPr>
          <w:rFonts w:ascii="Times New Roman" w:eastAsia="Calibri" w:hAnsi="Times New Roman" w:cs="Times New Roman"/>
          <w:b/>
          <w:sz w:val="28"/>
          <w:szCs w:val="28"/>
        </w:rPr>
        <w:t>Трудовой</w:t>
      </w:r>
      <w:r w:rsidR="00B0608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B43B8E">
        <w:rPr>
          <w:rFonts w:ascii="Times New Roman" w:eastAsia="Calibri" w:hAnsi="Times New Roman" w:cs="Times New Roman"/>
          <w:b/>
          <w:sz w:val="28"/>
          <w:szCs w:val="28"/>
        </w:rPr>
        <w:t>кодекс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Э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ксперимент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переходу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компаний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предпринимателей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кадровый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электронный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документооборот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завершился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15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года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Теперь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основные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принципы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кадрового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lastRenderedPageBreak/>
        <w:t>ЭДО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закреплены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статьях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22.1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6C8">
        <w:rPr>
          <w:rFonts w:ascii="Times New Roman" w:eastAsia="Calibri" w:hAnsi="Times New Roman" w:cs="Times New Roman"/>
          <w:sz w:val="24"/>
          <w:szCs w:val="24"/>
        </w:rPr>
        <w:t xml:space="preserve">– </w:t>
      </w:r>
      <w:r w:rsidRPr="00BE7BB0">
        <w:rPr>
          <w:rFonts w:ascii="Times New Roman" w:eastAsia="Calibri" w:hAnsi="Times New Roman" w:cs="Times New Roman"/>
          <w:sz w:val="24"/>
          <w:szCs w:val="24"/>
        </w:rPr>
        <w:t>22.3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Трудово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кодекс</w:t>
      </w:r>
      <w:r>
        <w:rPr>
          <w:rFonts w:ascii="Times New Roman" w:eastAsia="Calibri" w:hAnsi="Times New Roman" w:cs="Times New Roman"/>
          <w:sz w:val="24"/>
          <w:szCs w:val="24"/>
        </w:rPr>
        <w:t>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6C8">
        <w:rPr>
          <w:rFonts w:ascii="Times New Roman" w:eastAsia="Calibri" w:hAnsi="Times New Roman" w:cs="Times New Roman"/>
          <w:sz w:val="24"/>
          <w:szCs w:val="24"/>
        </w:rPr>
        <w:t>(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поправки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утв.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Федеральным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законом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0" w:tgtFrame="_blank" w:history="1"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от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22.11.21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№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377-ФЗ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вступили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силу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ноября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года</w:t>
      </w:r>
      <w:r w:rsidR="00AA76C8">
        <w:rPr>
          <w:rFonts w:ascii="Times New Roman" w:eastAsia="Calibri" w:hAnsi="Times New Roman" w:cs="Times New Roman"/>
          <w:sz w:val="24"/>
          <w:szCs w:val="24"/>
        </w:rPr>
        <w:t>)</w:t>
      </w: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3B8E" w:rsidRPr="00BE7BB0" w:rsidRDefault="000D313A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рамках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кадрового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ЭДО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можно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л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юбые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документы,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работой.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числе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те,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которыми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работника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полагается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ознакомить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под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роспись.</w:t>
      </w:r>
    </w:p>
    <w:p w:rsidR="00B43B8E" w:rsidRPr="00BE7BB0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есть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исключения.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электронном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виде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нельзя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создать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использовать: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акт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несчастном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случае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производстве;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приказ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(распоряжение)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об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увольнении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сотрудника;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бумаги,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подтверждающие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прохождение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инструктажей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охране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труда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(включая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те,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которых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должна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стоять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личная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подпись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работника).</w:t>
      </w:r>
    </w:p>
    <w:p w:rsidR="00B43B8E" w:rsidRPr="00B43B8E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E">
        <w:rPr>
          <w:rFonts w:ascii="Times New Roman" w:eastAsia="Calibri" w:hAnsi="Times New Roman" w:cs="Times New Roman"/>
          <w:sz w:val="24"/>
          <w:szCs w:val="24"/>
        </w:rPr>
        <w:t>Кадровый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ЭДО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можно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вести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следующих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системах:</w:t>
      </w:r>
    </w:p>
    <w:p w:rsidR="00B43B8E" w:rsidRPr="00B43B8E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н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единой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цифровой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платформе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«</w:t>
      </w:r>
      <w:hyperlink r:id="rId41" w:tgtFrame="_blank" w:history="1"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Работа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в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России</w:t>
        </w:r>
      </w:hyperlink>
      <w:r w:rsidR="00B43B8E" w:rsidRPr="00B43B8E">
        <w:rPr>
          <w:rFonts w:ascii="Times New Roman" w:eastAsia="Calibri" w:hAnsi="Times New Roman" w:cs="Times New Roman"/>
          <w:sz w:val="24"/>
          <w:szCs w:val="24"/>
        </w:rPr>
        <w:t>».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Зайти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можно,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числе,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через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2" w:tgtFrame="_blank" w:history="1"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портал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proofErr w:type="spellStart"/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Госуслуг</w:t>
        </w:r>
        <w:proofErr w:type="spellEnd"/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использованием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единой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системы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идентификации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аутентификации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(ЕСИА).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43B8E" w:rsidRPr="00B43B8E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собственной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системе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(ИС)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работодателя,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которая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позволяет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создавать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хранить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документы,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также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фиксировать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сторонами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трудового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договора.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Все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расходы,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связанные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такой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ИС,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предприниматель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берет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себя.</w:t>
      </w:r>
    </w:p>
    <w:p w:rsidR="00B43B8E" w:rsidRPr="00B43B8E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E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платформы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«Работа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России»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порталом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3B8E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должно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утвердить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правительство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РФ.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Также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будет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установлен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взаимодействия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портала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B43B8E">
        <w:rPr>
          <w:rFonts w:ascii="Times New Roman" w:eastAsia="Calibri" w:hAnsi="Times New Roman" w:cs="Times New Roman"/>
          <w:sz w:val="24"/>
          <w:szCs w:val="24"/>
        </w:rPr>
        <w:t>Госуслуг</w:t>
      </w:r>
      <w:proofErr w:type="spellEnd"/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информационной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системой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работодателя.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это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станет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возможным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ранее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сентября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2022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года,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когда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вступят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силу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соответствующие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положения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комментируемого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закона.</w:t>
      </w:r>
    </w:p>
    <w:p w:rsidR="00B43B8E" w:rsidRPr="00B43B8E" w:rsidRDefault="00AA76C8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новой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статье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3" w:anchor="h9059" w:tgtFrame="_blank" w:history="1"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22.1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РФ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четко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прописано: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кадровые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должны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быть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составлены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единым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форматам.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разработает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Минтруд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совместно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3B8E" w:rsidRPr="00B43B8E">
        <w:rPr>
          <w:rFonts w:ascii="Times New Roman" w:eastAsia="Calibri" w:hAnsi="Times New Roman" w:cs="Times New Roman"/>
          <w:sz w:val="24"/>
          <w:szCs w:val="24"/>
        </w:rPr>
        <w:t>Минцифры</w:t>
      </w:r>
      <w:proofErr w:type="spellEnd"/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Росархивом</w:t>
      </w:r>
      <w:proofErr w:type="spellEnd"/>
      <w:r w:rsidR="00B43B8E" w:rsidRPr="00B43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3B8E" w:rsidRPr="00BE7BB0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новой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статье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4" w:anchor="h9078" w:tgtFrame="_blank" w:history="1">
        <w:r w:rsidRPr="00BE7BB0">
          <w:rPr>
            <w:rFonts w:ascii="Times New Roman" w:eastAsia="Calibri" w:hAnsi="Times New Roman" w:cs="Times New Roman"/>
            <w:sz w:val="24"/>
            <w:szCs w:val="24"/>
          </w:rPr>
          <w:t>22.3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ТК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РФ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подробно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расписано,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какие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электронные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подписи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(ЭП)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нужно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использовать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заверения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отдельных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кадровых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(см.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ниже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табл.).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перехода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кадровый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ЭДО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р</w:t>
      </w:r>
      <w:r w:rsidR="000D313A" w:rsidRPr="00BE7BB0">
        <w:rPr>
          <w:rFonts w:ascii="Times New Roman" w:eastAsia="Calibri" w:hAnsi="Times New Roman" w:cs="Times New Roman"/>
          <w:sz w:val="24"/>
          <w:szCs w:val="24"/>
        </w:rPr>
        <w:t>аботодателю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нужно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принять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5" w:tgtFrame="_blank" w:history="1"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локальный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нормативный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акт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(с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учетом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мнения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профсоюза,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если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он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есть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организации).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этом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акте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следует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отразить: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какой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системе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(или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системах)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будет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осуществляться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кадровый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6C8">
        <w:rPr>
          <w:rFonts w:ascii="Times New Roman" w:eastAsia="Calibri" w:hAnsi="Times New Roman" w:cs="Times New Roman"/>
          <w:sz w:val="24"/>
          <w:szCs w:val="24"/>
        </w:rPr>
        <w:t>ЭДО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порядок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доступа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ИС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работодателя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(при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необходимости);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перечень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электронных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документов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категорий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работников,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подпадающих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под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кадровый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ЭДО;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срок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уведомления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персонала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переходе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A76C8">
        <w:rPr>
          <w:rFonts w:ascii="Times New Roman" w:eastAsia="Calibri" w:hAnsi="Times New Roman" w:cs="Times New Roman"/>
          <w:sz w:val="24"/>
          <w:szCs w:val="24"/>
        </w:rPr>
        <w:t>ЭДО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;</w:t>
      </w:r>
    </w:p>
    <w:p w:rsidR="00B43B8E" w:rsidRPr="00BE7BB0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дата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внедрения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кадрового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ЭДО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(не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ранее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срока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уведомления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E7BB0">
        <w:rPr>
          <w:rFonts w:ascii="Times New Roman" w:eastAsia="Calibri" w:hAnsi="Times New Roman" w:cs="Times New Roman"/>
          <w:sz w:val="24"/>
          <w:szCs w:val="24"/>
        </w:rPr>
        <w:t>персонала).</w:t>
      </w:r>
    </w:p>
    <w:p w:rsidR="00B43B8E" w:rsidRPr="00B43B8E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E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общему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правилу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переход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кадровый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ЭДО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сотрудников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кандидатов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трудоустройство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добровольный.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Если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человек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даст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своего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письменного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согласия,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его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трудовые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документы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нужно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оформлять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бумаге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(за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счет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работодателя).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Уволить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отказать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приеме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работу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из-за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отсутствия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согласия,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либо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ЭП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—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нельзя.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За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сотрудником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сохраняется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право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передумать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согласие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будущем.</w:t>
      </w:r>
    </w:p>
    <w:p w:rsidR="00B43B8E" w:rsidRPr="00B43B8E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E">
        <w:rPr>
          <w:rFonts w:ascii="Times New Roman" w:eastAsia="Calibri" w:hAnsi="Times New Roman" w:cs="Times New Roman"/>
          <w:sz w:val="24"/>
          <w:szCs w:val="24"/>
        </w:rPr>
        <w:t>Исключение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сделано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тех,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кто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соответствует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двум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условиям:</w:t>
      </w:r>
    </w:p>
    <w:p w:rsidR="00B43B8E" w:rsidRPr="00B43B8E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устраивается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работу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после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31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2021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года;</w:t>
      </w:r>
    </w:p>
    <w:p w:rsidR="00B43B8E" w:rsidRPr="00B43B8E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имеет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трудовой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стаж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состоянию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31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декабря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2021.</w:t>
      </w:r>
    </w:p>
    <w:p w:rsidR="00B43B8E" w:rsidRPr="00B43B8E" w:rsidRDefault="00B43B8E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43B8E">
        <w:rPr>
          <w:rFonts w:ascii="Times New Roman" w:eastAsia="Calibri" w:hAnsi="Times New Roman" w:cs="Times New Roman"/>
          <w:sz w:val="24"/>
          <w:szCs w:val="24"/>
        </w:rPr>
        <w:t>Таких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соискателей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разрешено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подключать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кадровому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ЭДО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без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их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43B8E">
        <w:rPr>
          <w:rFonts w:ascii="Times New Roman" w:eastAsia="Calibri" w:hAnsi="Times New Roman" w:cs="Times New Roman"/>
          <w:sz w:val="24"/>
          <w:szCs w:val="24"/>
        </w:rPr>
        <w:t>согласия.</w:t>
      </w:r>
    </w:p>
    <w:p w:rsidR="00B43B8E" w:rsidRPr="00B43B8E" w:rsidRDefault="00BE7BB0" w:rsidP="00B0608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С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огласно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новой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редакции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статьи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6" w:anchor="h7149" w:tgtFrame="_blank" w:history="1"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312.2</w:t>
        </w:r>
      </w:hyperlink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ТК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РФ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электронный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кадровый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документооборот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разрешено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переводить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том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43B8E" w:rsidRPr="00B43B8E">
        <w:rPr>
          <w:rFonts w:ascii="Times New Roman" w:eastAsia="Calibri" w:hAnsi="Times New Roman" w:cs="Times New Roman"/>
          <w:sz w:val="24"/>
          <w:szCs w:val="24"/>
        </w:rPr>
        <w:t>числе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47" w:tgtFrame="_blank" w:history="1"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дистанционных</w:t>
        </w:r>
        <w:r w:rsidR="00B0608E">
          <w:rPr>
            <w:rFonts w:ascii="Times New Roman" w:eastAsia="Calibri" w:hAnsi="Times New Roman" w:cs="Times New Roman"/>
            <w:sz w:val="24"/>
            <w:szCs w:val="24"/>
          </w:rPr>
          <w:t xml:space="preserve"> </w:t>
        </w:r>
        <w:r w:rsidR="00B43B8E" w:rsidRPr="00BE7BB0">
          <w:rPr>
            <w:rFonts w:ascii="Times New Roman" w:eastAsia="Calibri" w:hAnsi="Times New Roman" w:cs="Times New Roman"/>
            <w:sz w:val="24"/>
            <w:szCs w:val="24"/>
          </w:rPr>
          <w:t>работников</w:t>
        </w:r>
      </w:hyperlink>
      <w:r w:rsidR="00B43B8E" w:rsidRPr="00B43B8E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43B8E" w:rsidRPr="00B43B8E" w:rsidRDefault="00B43B8E" w:rsidP="00AA76C8">
      <w:pPr>
        <w:spacing w:after="0" w:line="240" w:lineRule="auto"/>
        <w:ind w:firstLine="708"/>
        <w:jc w:val="both"/>
        <w:rPr>
          <w:rFonts w:ascii="PT Serif" w:hAnsi="PT Serif"/>
          <w:color w:val="000000"/>
          <w:sz w:val="32"/>
          <w:szCs w:val="32"/>
          <w:shd w:val="clear" w:color="auto" w:fill="FFFFFF"/>
        </w:rPr>
      </w:pPr>
      <w:r w:rsidRPr="00BE7BB0">
        <w:rPr>
          <w:rFonts w:ascii="Times New Roman" w:eastAsia="Calibri" w:hAnsi="Times New Roman" w:cs="Times New Roman"/>
          <w:sz w:val="24"/>
          <w:szCs w:val="24"/>
        </w:rPr>
        <w:t>Заявления,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уведомления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сообщения,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направленные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сотрудником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или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соискателем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адрес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работодателя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посредством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ЭДО,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считаются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поступившими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следующий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день.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Все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расходы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на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получение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электронных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подписей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работников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несет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организация</w:t>
      </w:r>
      <w:r w:rsidR="00B060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E7BB0">
        <w:rPr>
          <w:rFonts w:ascii="Times New Roman" w:eastAsia="Calibri" w:hAnsi="Times New Roman" w:cs="Times New Roman"/>
          <w:sz w:val="24"/>
          <w:szCs w:val="24"/>
        </w:rPr>
        <w:t>(предприниматель).</w:t>
      </w:r>
    </w:p>
    <w:sectPr w:rsidR="00B43B8E" w:rsidRPr="00B43B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9C6981"/>
    <w:multiLevelType w:val="multilevel"/>
    <w:tmpl w:val="92D09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6F133F"/>
    <w:multiLevelType w:val="multilevel"/>
    <w:tmpl w:val="156C3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7111874"/>
    <w:multiLevelType w:val="multilevel"/>
    <w:tmpl w:val="C0C84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76C65BE"/>
    <w:multiLevelType w:val="multilevel"/>
    <w:tmpl w:val="D2AE1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185D6E"/>
    <w:multiLevelType w:val="multilevel"/>
    <w:tmpl w:val="23107B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C05546C"/>
    <w:multiLevelType w:val="multilevel"/>
    <w:tmpl w:val="D63E82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F713F6"/>
    <w:multiLevelType w:val="multilevel"/>
    <w:tmpl w:val="08108F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CFC49CB"/>
    <w:multiLevelType w:val="multilevel"/>
    <w:tmpl w:val="5840E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4610683"/>
    <w:multiLevelType w:val="multilevel"/>
    <w:tmpl w:val="11369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88568B9"/>
    <w:multiLevelType w:val="multilevel"/>
    <w:tmpl w:val="A1745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FF875D6"/>
    <w:multiLevelType w:val="multilevel"/>
    <w:tmpl w:val="CCA20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891F95"/>
    <w:multiLevelType w:val="multilevel"/>
    <w:tmpl w:val="9776F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4"/>
  </w:num>
  <w:num w:numId="9">
    <w:abstractNumId w:val="2"/>
  </w:num>
  <w:num w:numId="10">
    <w:abstractNumId w:val="1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3B8E"/>
    <w:rsid w:val="000D313A"/>
    <w:rsid w:val="00290005"/>
    <w:rsid w:val="006544E8"/>
    <w:rsid w:val="0076665C"/>
    <w:rsid w:val="00AA76C8"/>
    <w:rsid w:val="00B0608E"/>
    <w:rsid w:val="00B43B8E"/>
    <w:rsid w:val="00BE7BB0"/>
    <w:rsid w:val="00C778CB"/>
    <w:rsid w:val="00CD28ED"/>
    <w:rsid w:val="00E57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271E0"/>
  <w15:chartTrackingRefBased/>
  <w15:docId w15:val="{0A7C498F-871B-46CF-8B8E-88B3BFC90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43B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43B8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43B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43B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43B8E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43B8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Normal (Web)"/>
    <w:basedOn w:val="a"/>
    <w:uiPriority w:val="99"/>
    <w:semiHidden/>
    <w:unhideWhenUsed/>
    <w:rsid w:val="00B43B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43B8E"/>
    <w:rPr>
      <w:b/>
      <w:bCs/>
    </w:rPr>
  </w:style>
  <w:style w:type="character" w:customStyle="1" w:styleId="content-product-title">
    <w:name w:val="content-product-title"/>
    <w:basedOn w:val="a0"/>
    <w:rsid w:val="00B43B8E"/>
  </w:style>
  <w:style w:type="character" w:customStyle="1" w:styleId="figuretext">
    <w:name w:val="figure__text"/>
    <w:basedOn w:val="a0"/>
    <w:rsid w:val="00B43B8E"/>
  </w:style>
  <w:style w:type="character" w:customStyle="1" w:styleId="40">
    <w:name w:val="Заголовок 4 Знак"/>
    <w:basedOn w:val="a0"/>
    <w:link w:val="4"/>
    <w:uiPriority w:val="9"/>
    <w:semiHidden/>
    <w:rsid w:val="00B43B8E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tile-authorinfo">
    <w:name w:val="tile-author__info"/>
    <w:basedOn w:val="a0"/>
    <w:rsid w:val="00B43B8E"/>
  </w:style>
  <w:style w:type="character" w:customStyle="1" w:styleId="tile-authorwork">
    <w:name w:val="tile-author__work"/>
    <w:basedOn w:val="a0"/>
    <w:rsid w:val="00B43B8E"/>
  </w:style>
  <w:style w:type="character" w:customStyle="1" w:styleId="figuretitle">
    <w:name w:val="figure__title"/>
    <w:basedOn w:val="a0"/>
    <w:rsid w:val="00B43B8E"/>
  </w:style>
  <w:style w:type="character" w:styleId="a6">
    <w:name w:val="Emphasis"/>
    <w:basedOn w:val="a0"/>
    <w:uiPriority w:val="20"/>
    <w:qFormat/>
    <w:rsid w:val="00B43B8E"/>
    <w:rPr>
      <w:i/>
      <w:iCs/>
    </w:rPr>
  </w:style>
  <w:style w:type="character" w:customStyle="1" w:styleId="attachmentstitle">
    <w:name w:val="attachments__title"/>
    <w:basedOn w:val="a0"/>
    <w:rsid w:val="00290005"/>
  </w:style>
  <w:style w:type="paragraph" w:customStyle="1" w:styleId="attachmentsitem">
    <w:name w:val="attachments__item"/>
    <w:basedOn w:val="a"/>
    <w:rsid w:val="002900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1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20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5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0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384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1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90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783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989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758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7761855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3698265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6731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8948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2782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636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44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155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29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9969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12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59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2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2677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1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01447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95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334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94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180551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9381182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5369510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166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3744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474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10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4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1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6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1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7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494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9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9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0586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260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29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79386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7865405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3039242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90693413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49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623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976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636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3401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0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48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4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12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7485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378765">
                              <w:marLeft w:val="0"/>
                              <w:marRight w:val="60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59798124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963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069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7288382">
                          <w:marLeft w:val="0"/>
                          <w:marRight w:val="0"/>
                          <w:marTop w:val="60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102286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45192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223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175944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235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0023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659066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4965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87939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33768">
                                  <w:marLeft w:val="0"/>
                                  <w:marRight w:val="0"/>
                                  <w:marTop w:val="480"/>
                                  <w:marBottom w:val="4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71401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809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ovmf2.consultant.ru/cgi/online.cgi?req=doc;rnd=c9ddc47c28d1405089ab07825fd3a16c;base=law;n=401510;dst=100160" TargetMode="External"/><Relationship Id="rId18" Type="http://schemas.openxmlformats.org/officeDocument/2006/relationships/hyperlink" Target="https://ovmf2.consultant.ru/cgi/online.cgi?req=doc;rnd=c9ddc47c28d1405089ab07825fd3a16c;base=law;n=401510;dst=100452" TargetMode="External"/><Relationship Id="rId26" Type="http://schemas.openxmlformats.org/officeDocument/2006/relationships/hyperlink" Target="https://ovmf2.consultant.ru/cgi/online.cgi?req=news&amp;op=page&amp;page=%2Fnews%2F17783%2F" TargetMode="External"/><Relationship Id="rId39" Type="http://schemas.openxmlformats.org/officeDocument/2006/relationships/hyperlink" Target="https://ovmf2.consultant.ru/cgi/online.cgi?req=doc;rnd=c9ddc47c28d1405089ab07825fd3a16c;base=law;n=393343;dst=100008" TargetMode="External"/><Relationship Id="rId21" Type="http://schemas.openxmlformats.org/officeDocument/2006/relationships/hyperlink" Target="https://ovmf2.consultant.ru/cgi/online.cgi?req=doc;rnd=c9ddc47c28d1405089ab07825fd3a16c;base=law;n=314504;dst=100010" TargetMode="External"/><Relationship Id="rId34" Type="http://schemas.openxmlformats.org/officeDocument/2006/relationships/hyperlink" Target="https://normativ.kontur.ru/document?moduleId=1&amp;documentId=400007&amp;promocode=0957&amp;utm_source=newsletter&amp;utm_medium=email&amp;utm_campaign=content-link-buhonline&amp;utm_content=tag-trudovye-otnosheniya&amp;utm_term=pub17342" TargetMode="External"/><Relationship Id="rId42" Type="http://schemas.openxmlformats.org/officeDocument/2006/relationships/hyperlink" Target="https://www.gosuslugi.ru/" TargetMode="External"/><Relationship Id="rId47" Type="http://schemas.openxmlformats.org/officeDocument/2006/relationships/hyperlink" Target="https://www.buhonline.ru/pub/comments/2021/1/16263_distancionnaya-rabota-v-2021-godu-chitaem-novyj" TargetMode="External"/><Relationship Id="rId7" Type="http://schemas.openxmlformats.org/officeDocument/2006/relationships/hyperlink" Target="https://ovmf2.consultant.ru/cgi/online.cgi?req=doc;rnd=c9ddc47c28d1405089ab07825fd3a16c;base=law;n=389853;dst=18666" TargetMode="External"/><Relationship Id="rId2" Type="http://schemas.openxmlformats.org/officeDocument/2006/relationships/styles" Target="styles.xml"/><Relationship Id="rId16" Type="http://schemas.openxmlformats.org/officeDocument/2006/relationships/hyperlink" Target="https://ovmf2.consultant.ru/cgi/online.cgi?req=doc;rnd=c9ddc47c28d1405089ab07825fd3a16c;base=law;n=401510;dst=100143" TargetMode="External"/><Relationship Id="rId29" Type="http://schemas.openxmlformats.org/officeDocument/2006/relationships/hyperlink" Target="https://ovmf2.consultant.ru/cgi/online.cgi?req=doc;rnd=c9ddc47c28d1405089ab07825fd3a16c;base=law;n=400729;dst=100006" TargetMode="External"/><Relationship Id="rId11" Type="http://schemas.openxmlformats.org/officeDocument/2006/relationships/hyperlink" Target="https://ovmf2.consultant.ru/cgi/online.cgi?req=doc;rnd=c9ddc47c28d1405089ab07825fd3a16c;base=law;n=401510;dst=100447" TargetMode="External"/><Relationship Id="rId24" Type="http://schemas.openxmlformats.org/officeDocument/2006/relationships/hyperlink" Target="https://ovmf2.consultant.ru/cgi/online.cgi?req=doc;rnd=c9ddc47c28d1405089ab07825fd3a16c;base=law;n=386440;dst=100010" TargetMode="External"/><Relationship Id="rId32" Type="http://schemas.openxmlformats.org/officeDocument/2006/relationships/hyperlink" Target="https://ovmf2.consultant.ru/cgi/online.cgi?req=doc;rnd=c9ddc47c28d1405089ab07825fd3a16c;base=law;n=389853;dst=13405" TargetMode="External"/><Relationship Id="rId37" Type="http://schemas.openxmlformats.org/officeDocument/2006/relationships/hyperlink" Target="https://ovmf2.consultant.ru/cgi/online.cgi?req=doc;rnd=c9ddc47c28d1405089ab07825fd3a16c;base=law;n=363995;dst=264" TargetMode="External"/><Relationship Id="rId40" Type="http://schemas.openxmlformats.org/officeDocument/2006/relationships/hyperlink" Target="https://normativ.kontur.ru/document?moduleId=1&amp;documentId=407097&amp;promocode=0957&amp;utm_source=newsletter&amp;utm_medium=email&amp;utm_campaign=content-link-buhonline&amp;utm_content=tag-trudovye-otnosheniya&amp;utm_term=pub17379" TargetMode="External"/><Relationship Id="rId45" Type="http://schemas.openxmlformats.org/officeDocument/2006/relationships/hyperlink" Target="https://www.buhonline.ru/pub/beginner/2017/2/12024" TargetMode="External"/><Relationship Id="rId5" Type="http://schemas.openxmlformats.org/officeDocument/2006/relationships/hyperlink" Target="https://ovmf2.consultant.ru/cgi/online.cgi?req=doc;rnd=c9ddc47c28d1405089ab07825fd3a16c;base=law;n=389853;dst=14122" TargetMode="External"/><Relationship Id="rId15" Type="http://schemas.openxmlformats.org/officeDocument/2006/relationships/hyperlink" Target="https://ovmf2.consultant.ru/cgi/online.cgi?req=doc;rnd=c9ddc47c28d1405089ab07825fd3a16c;base=law;n=401510;dst=100447" TargetMode="External"/><Relationship Id="rId23" Type="http://schemas.openxmlformats.org/officeDocument/2006/relationships/hyperlink" Target="https://ovmf2.consultant.ru/cgi/online.cgi?req=doc;rnd=c9ddc47c28d1405089ab07825fd3a16c;base=law;n=365338;dst=100156" TargetMode="External"/><Relationship Id="rId28" Type="http://schemas.openxmlformats.org/officeDocument/2006/relationships/hyperlink" Target="https://ovmf2.consultant.ru/cgi/online.cgi?req=doc;rnd=c9ddc47c28d1405089ab07825fd3a16c;base=prj;n=214530;dst=100007" TargetMode="External"/><Relationship Id="rId36" Type="http://schemas.openxmlformats.org/officeDocument/2006/relationships/hyperlink" Target="https://normativ.kontur.ru/document?moduleId=1&amp;documentId=400007&amp;promocode=0957&amp;utm_source=newsletter&amp;utm_medium=email&amp;utm_campaign=content-link-buhonline&amp;utm_content=tag-trudovye-otnosheniya&amp;utm_term=pub17342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s://ovmf2.consultant.ru/cgi/online.cgi?req=doc;rnd=c9ddc47c28d1405089ab07825fd3a16c;base=quest;n=191209;dst=100008" TargetMode="External"/><Relationship Id="rId19" Type="http://schemas.openxmlformats.org/officeDocument/2006/relationships/hyperlink" Target="https://ovmf2.consultant.ru/cgi/online.cgi?req=doc;rnd=c9ddc47c28d1405089ab07825fd3a16c;base=law;n=389853;dst=20701" TargetMode="External"/><Relationship Id="rId31" Type="http://schemas.openxmlformats.org/officeDocument/2006/relationships/hyperlink" Target="https://ovmf2.consultant.ru/cgi/online.cgi?req=doc;rnd=c9ddc47c28d1405089ab07825fd3a16c;base=law;n=389853;dst=16803" TargetMode="External"/><Relationship Id="rId44" Type="http://schemas.openxmlformats.org/officeDocument/2006/relationships/hyperlink" Target="https://normativ.kontur.ru/document?moduleId=1&amp;documentId=407266&amp;promocode=0957&amp;utm_source=newsletter&amp;utm_medium=email&amp;utm_campaign=content-link-buhonline&amp;utm_content=tag-trudovye-otnosheniya&amp;utm_term=pub1737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vmf2.consultant.ru/cgi/online.cgi?req=doc;rnd=c9ddc47c28d1405089ab07825fd3a16c;base=law;n=401510;dst=100163" TargetMode="External"/><Relationship Id="rId14" Type="http://schemas.openxmlformats.org/officeDocument/2006/relationships/hyperlink" Target="https://ovmf2.consultant.ru/cgi/online.cgi?req=doc;rnd=c9ddc47c28d1405089ab07825fd3a16c;base=law;n=389853;dst=102286" TargetMode="External"/><Relationship Id="rId22" Type="http://schemas.openxmlformats.org/officeDocument/2006/relationships/hyperlink" Target="https://ovmf2.consultant.ru/cgi/online.cgi?req=doc;rnd=c9ddc47c28d1405089ab07825fd3a16c;base=law;n=365338;dst=100022" TargetMode="External"/><Relationship Id="rId27" Type="http://schemas.openxmlformats.org/officeDocument/2006/relationships/hyperlink" Target="https://sozd.duma.gov.ru/bill/1258300-7" TargetMode="External"/><Relationship Id="rId30" Type="http://schemas.openxmlformats.org/officeDocument/2006/relationships/hyperlink" Target="https://ovmf2.consultant.ru/cgi/online.cgi?req=doc;rnd=c9ddc47c28d1405089ab07825fd3a16c;base=law;n=400729;dst=100007" TargetMode="External"/><Relationship Id="rId35" Type="http://schemas.openxmlformats.org/officeDocument/2006/relationships/hyperlink" Target="https://sozd.duma.gov.ru/bill/1162885-7" TargetMode="External"/><Relationship Id="rId43" Type="http://schemas.openxmlformats.org/officeDocument/2006/relationships/hyperlink" Target="https://normativ.kontur.ru/document?moduleId=1&amp;documentId=407266&amp;promocode=0957&amp;utm_source=newsletter&amp;utm_medium=email&amp;utm_campaign=content-link-buhonline&amp;utm_content=tag-trudovye-otnosheniya&amp;utm_term=pub17379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s://ovmf2.consultant.ru/cgi/online.cgi?req=doc;rnd=c9ddc47c28d1405089ab07825fd3a16c;base=law;n=401510;dst=100457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ovmf2.consultant.ru/cgi/online.cgi?req=doc;rnd=c9ddc47c28d1405089ab07825fd3a16c;base=law;n=389853;dst=4303" TargetMode="External"/><Relationship Id="rId17" Type="http://schemas.openxmlformats.org/officeDocument/2006/relationships/hyperlink" Target="https://ovmf2.consultant.ru/cgi/online.cgi?req=doc;rnd=c9ddc47c28d1405089ab07825fd3a16c;base=law;n=401510;dst=100443" TargetMode="External"/><Relationship Id="rId25" Type="http://schemas.openxmlformats.org/officeDocument/2006/relationships/hyperlink" Target="https://ovmf2.consultant.ru/cgi/online.cgi?req=doc;rnd=c9ddc47c28d1405089ab07825fd3a16c;base=law;n=386440;dst=100065" TargetMode="External"/><Relationship Id="rId33" Type="http://schemas.openxmlformats.org/officeDocument/2006/relationships/hyperlink" Target="https://sozd.duma.gov.ru/bill/1141868-7" TargetMode="External"/><Relationship Id="rId38" Type="http://schemas.openxmlformats.org/officeDocument/2006/relationships/hyperlink" Target="https://ovmf2.consultant.ru/cgi/online.cgi?req=doc;rnd=c9ddc47c28d1405089ab07825fd3a16c;base=law;n=363995;dst=265" TargetMode="External"/><Relationship Id="rId46" Type="http://schemas.openxmlformats.org/officeDocument/2006/relationships/hyperlink" Target="https://normativ.kontur.ru/document?moduleId=1&amp;documentId=407266&amp;promocode=0957&amp;utm_source=newsletter&amp;utm_medium=email&amp;utm_campaign=content-link-buhonline&amp;utm_content=tag-trudovye-otnosheniya&amp;utm_term=pub17379" TargetMode="External"/><Relationship Id="rId20" Type="http://schemas.openxmlformats.org/officeDocument/2006/relationships/hyperlink" Target="https://ovmf2.consultant.ru/cgi/online.cgi?req=doc;rnd=c9ddc47c28d1405089ab07825fd3a16c;base=law;n=401510;dst=100452" TargetMode="External"/><Relationship Id="rId41" Type="http://schemas.openxmlformats.org/officeDocument/2006/relationships/hyperlink" Target="https://trudvsem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ovmf2.consultant.ru/cgi/online.cgi?req=doc;rnd=c9ddc47c28d1405089ab07825fd3a16c;base=law;n=401510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2856</Words>
  <Characters>16280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 Наталья Игоревна</dc:creator>
  <cp:keywords/>
  <dc:description/>
  <cp:lastModifiedBy>Савенко Наталья Игоревна</cp:lastModifiedBy>
  <cp:revision>2</cp:revision>
  <dcterms:created xsi:type="dcterms:W3CDTF">2021-12-02T05:32:00Z</dcterms:created>
  <dcterms:modified xsi:type="dcterms:W3CDTF">2021-12-02T05:32:00Z</dcterms:modified>
</cp:coreProperties>
</file>