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4A" w:rsidRDefault="00CB3D4A" w:rsidP="00CB3D4A">
      <w:r>
        <w:t xml:space="preserve">Сентябрь 2019. Информационный </w:t>
      </w:r>
      <w:r>
        <w:t>бюллетень</w:t>
      </w:r>
    </w:p>
    <w:p w:rsidR="00CB3D4A" w:rsidRDefault="00CB3D4A" w:rsidP="00CB3D4A">
      <w:proofErr w:type="gramStart"/>
      <w:r>
        <w:t xml:space="preserve">1. 4 сентября 2019 года вступил в силу Закон Челябинской области от 04.09.2019 N 940-ЗО «О применении на территории Челябинской области инвестиционного налогового вычета по налогу на прибыль организаций» (распространяется на правоотношения, возникшие с 1 января 2019 г., и действует по 31 декабря 2027 г.), в соответствии с которым инвестиционным налоговым вычетом в отношении расходов, указанных в </w:t>
      </w:r>
      <w:proofErr w:type="spellStart"/>
      <w:r>
        <w:t>пп</w:t>
      </w:r>
      <w:proofErr w:type="spellEnd"/>
      <w:r>
        <w:t>. 1 и</w:t>
      </w:r>
      <w:proofErr w:type="gramEnd"/>
      <w:r>
        <w:t xml:space="preserve"> 2 п. 2 ст. 286.1 НК РФ, вправе воспользоваться следующие категории налогоплательщиков:</w:t>
      </w:r>
    </w:p>
    <w:p w:rsidR="00CB3D4A" w:rsidRDefault="00CB3D4A" w:rsidP="00CB3D4A">
      <w:r>
        <w:t>- организаций - участников промышленного кластера, включенного в реестр промышленных кластеров, специализированных организаций промышленных кластеров в Челябинской области, не находящихся в процессе ликвидации и (или) банкротства;</w:t>
      </w:r>
    </w:p>
    <w:p w:rsidR="00CB3D4A" w:rsidRDefault="00CB3D4A" w:rsidP="00CB3D4A">
      <w:r>
        <w:t>- организаций - участников национального проекта "Производительность труда и поддержка занятости", не находящихся в процессе ликвидации и (или) банкротства.</w:t>
      </w:r>
    </w:p>
    <w:p w:rsidR="00CB3D4A" w:rsidRDefault="00CB3D4A" w:rsidP="00CB3D4A">
      <w:proofErr w:type="gramStart"/>
      <w:r>
        <w:t xml:space="preserve">Инвестиционным налоговым вычетом в отношении расходов, указанных в </w:t>
      </w:r>
      <w:proofErr w:type="spellStart"/>
      <w:r>
        <w:t>пп</w:t>
      </w:r>
      <w:proofErr w:type="spellEnd"/>
      <w:r>
        <w:t>. 3 п. 2 ст. 286.1 НК РФ, вправе воспользоваться государственные, муниципальные учреждения, осуществляющие деятельность в области культуры, включенные в перечень государственных, муниципальных учреждений, осуществляющих деятельность в области культуры, и некоммерческим организациям (фондам), формирующим целевой капитал в целях поддержки указанных учреждений, местом нахождения которых является территория Челябинской области.</w:t>
      </w:r>
      <w:proofErr w:type="gramEnd"/>
    </w:p>
    <w:p w:rsidR="00CB3D4A" w:rsidRDefault="00CB3D4A" w:rsidP="00CB3D4A">
      <w:r>
        <w:t xml:space="preserve">Размер ставки налога на прибыль организаций для определения предельной величины инвестиционного налогового </w:t>
      </w:r>
      <w:r w:rsidR="000A7EBC">
        <w:t>вычета составляет 8,5 процента.</w:t>
      </w:r>
    </w:p>
    <w:p w:rsidR="00CB3D4A" w:rsidRDefault="00CB3D4A" w:rsidP="00CB3D4A">
      <w:r>
        <w:t>2. Законом Челябинской области от 06.09.2019 N 954-ЗО изменены отдельные ставки транспортного налога:</w:t>
      </w:r>
    </w:p>
    <w:p w:rsidR="00CB3D4A" w:rsidRDefault="00CB3D4A" w:rsidP="00CB3D4A">
      <w:proofErr w:type="gramStart"/>
      <w:r>
        <w:t xml:space="preserve">- уменьшены ставки на легковые автомобили с мощностью двигателя до 100 </w:t>
      </w:r>
      <w:proofErr w:type="spellStart"/>
      <w:r>
        <w:t>л.с</w:t>
      </w:r>
      <w:proofErr w:type="spellEnd"/>
      <w:r>
        <w:t xml:space="preserve">. (с 7,7 до 5,16 руб.), свыше 100 </w:t>
      </w:r>
      <w:proofErr w:type="spellStart"/>
      <w:r>
        <w:t>л.с</w:t>
      </w:r>
      <w:proofErr w:type="spellEnd"/>
      <w:r>
        <w:t xml:space="preserve">. до 150 </w:t>
      </w:r>
      <w:proofErr w:type="spellStart"/>
      <w:r>
        <w:t>л.с</w:t>
      </w:r>
      <w:proofErr w:type="spellEnd"/>
      <w:r>
        <w:t xml:space="preserve">. (с 20 до 13.4 руб.), на остальные - ставка не изменилась. </w:t>
      </w:r>
      <w:proofErr w:type="gramEnd"/>
    </w:p>
    <w:p w:rsidR="00CB3D4A" w:rsidRDefault="00CB3D4A" w:rsidP="00CB3D4A">
      <w:r>
        <w:t xml:space="preserve">- </w:t>
      </w:r>
      <w:proofErr w:type="gramStart"/>
      <w:r>
        <w:t>п</w:t>
      </w:r>
      <w:proofErr w:type="gramEnd"/>
      <w:r>
        <w:t xml:space="preserve">о мотоциклам и мотороллерам с мощностью двигателя до 20 </w:t>
      </w:r>
      <w:proofErr w:type="spellStart"/>
      <w:r>
        <w:t>л.с</w:t>
      </w:r>
      <w:proofErr w:type="spellEnd"/>
      <w:r>
        <w:t xml:space="preserve">. (до 14,7 кВт) включительно ставка налога снижена до 3,08 руб. (ранее - 4,6 руб.), свыше 20 </w:t>
      </w:r>
      <w:proofErr w:type="spellStart"/>
      <w:r>
        <w:t>л.с</w:t>
      </w:r>
      <w:proofErr w:type="spellEnd"/>
      <w:r>
        <w:t xml:space="preserve">. до 35 </w:t>
      </w:r>
      <w:proofErr w:type="spellStart"/>
      <w:r>
        <w:t>л.с</w:t>
      </w:r>
      <w:proofErr w:type="spellEnd"/>
      <w:r>
        <w:t xml:space="preserve">. ставка налога составляет 5,16 руб. (ранее - 7,7 руб.); свыше 35 </w:t>
      </w:r>
      <w:proofErr w:type="spellStart"/>
      <w:r>
        <w:t>л.с</w:t>
      </w:r>
      <w:proofErr w:type="spellEnd"/>
      <w:r>
        <w:t xml:space="preserve">. до 36 </w:t>
      </w:r>
      <w:proofErr w:type="spellStart"/>
      <w:r>
        <w:t>л.с</w:t>
      </w:r>
      <w:proofErr w:type="spellEnd"/>
      <w:r>
        <w:t xml:space="preserve">. - 5,16 руб. (ранее - 7,7 руб.), свыше 36 </w:t>
      </w:r>
      <w:proofErr w:type="spellStart"/>
      <w:r>
        <w:t>л.с</w:t>
      </w:r>
      <w:proofErr w:type="spellEnd"/>
      <w:r>
        <w:t xml:space="preserve">. - 30,0 руб. </w:t>
      </w:r>
    </w:p>
    <w:p w:rsidR="00CB3D4A" w:rsidRDefault="00CB3D4A" w:rsidP="00CB3D4A">
      <w:r>
        <w:t>Действие закона распространяется на правоотношения</w:t>
      </w:r>
      <w:r w:rsidR="000A7EBC">
        <w:t xml:space="preserve">, возникшие с 1 января 2019 г. </w:t>
      </w:r>
    </w:p>
    <w:p w:rsidR="00CB3D4A" w:rsidRDefault="00CB3D4A" w:rsidP="00CB3D4A">
      <w:r>
        <w:t xml:space="preserve">3. С 9 сентября 2019 года снижена ключевая ставка на 25 </w:t>
      </w:r>
      <w:proofErr w:type="spellStart"/>
      <w:r>
        <w:t>б.п</w:t>
      </w:r>
      <w:proofErr w:type="spellEnd"/>
      <w:r>
        <w:t xml:space="preserve">., до 7,00% </w:t>
      </w:r>
      <w:proofErr w:type="gramStart"/>
      <w:r>
        <w:t>годовых</w:t>
      </w:r>
      <w:proofErr w:type="gramEnd"/>
      <w:r>
        <w:t xml:space="preserve"> (Информации Банка России от</w:t>
      </w:r>
      <w:r w:rsidR="000A7EBC">
        <w:t xml:space="preserve"> 06.09.2016).</w:t>
      </w:r>
    </w:p>
    <w:p w:rsidR="00CB3D4A" w:rsidRDefault="00CB3D4A" w:rsidP="00CB3D4A">
      <w:r>
        <w:t xml:space="preserve">4. Государственная дума в третьем чтении приняла масштабные поправки к НК РФ. </w:t>
      </w:r>
    </w:p>
    <w:p w:rsidR="00CB3D4A" w:rsidRDefault="00CB3D4A" w:rsidP="00CB3D4A">
      <w:r>
        <w:t xml:space="preserve">В частности, законопроектом № 720839-7 «О внесении изменений в части первую и вторую Налогового кодекса Российской Федерации» урегулированы вопросы получения вычетов при покупке жилья в ипотеку в рамках программ помощи отдельным категориям заемщиков, оказавшихся в сложной финансовой ситуации. Прописаны особенности налогообложения доходов от продажи имущества, которое было получено на безвозмездной основе или с частичной оплатой, а также в порядке наследования или в дар. Предусмотрена возможность предоставления (получение) в налоговые органы документов через МФЦ. Уточнен порядок отнесения имущества к </w:t>
      </w:r>
      <w:proofErr w:type="gramStart"/>
      <w:r>
        <w:lastRenderedPageBreak/>
        <w:t>амортизируемому</w:t>
      </w:r>
      <w:proofErr w:type="gramEnd"/>
      <w:r>
        <w:t>. В части НДС, ранее принятого к вычету, налог будет восстанавливаться при реорганизации компании (установлены условия).</w:t>
      </w:r>
    </w:p>
    <w:p w:rsidR="00CB3D4A" w:rsidRDefault="00CB3D4A" w:rsidP="00CB3D4A">
      <w:r>
        <w:t xml:space="preserve">5. </w:t>
      </w:r>
      <w:proofErr w:type="gramStart"/>
      <w:r>
        <w:t>ПФР утвержден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(АДИ-РЕГ)" (постановление Правления Пенсионного фонда России от 13 июня 2019 г. N 335п "Об утверждении формы документа, подтверждающего регистрацию в системе индивидуального (персонифицированного) учета, и порядка его оформления в форме электронного документа" зарегистрировано в Минюсте РФ 18.09.2019).</w:t>
      </w:r>
      <w:proofErr w:type="gramEnd"/>
    </w:p>
    <w:p w:rsidR="00CB3D4A" w:rsidRDefault="00CB3D4A" w:rsidP="00CB3D4A">
      <w:r>
        <w:t>Отметим, что регистрация в системе ОПС подтверждается путем направления гражданину уведомления. Страховые сви</w:t>
      </w:r>
      <w:r w:rsidR="000A7EBC">
        <w:t>детельства (СНИЛС) не выдаются.</w:t>
      </w:r>
    </w:p>
    <w:p w:rsidR="00CB3D4A" w:rsidRDefault="00CB3D4A" w:rsidP="00CB3D4A">
      <w:r>
        <w:t xml:space="preserve">6. </w:t>
      </w:r>
      <w:proofErr w:type="gramStart"/>
      <w:r>
        <w:t>В связи с отменой обязанности организаций подавать в налоговые органы декларации по транспортному и земельному налогам за налоговый период 2020 года и последующие налоговые периоды ФНС России приказом от 25.07.2019 N ММВ-7-21/377@ утвердила форму заявления о предоставлении льготы по указанным налогам (приказ вступ</w:t>
      </w:r>
      <w:r w:rsidR="000A7EBC">
        <w:t>ает в силу с 1 января 2020 г.).</w:t>
      </w:r>
      <w:proofErr w:type="gramEnd"/>
    </w:p>
    <w:p w:rsidR="00CB3D4A" w:rsidRDefault="00CB3D4A" w:rsidP="00CB3D4A">
      <w:r>
        <w:t>7. ФНС России сравнила налоговую нагрузку типового предприятия для разных режимов налогообложения (Информация Федеральной налоговой службы от 12 сентября 2019 г. "ФНС России сравнила налоговую нагрузку типового предприятия для разных режимов налогообложения"). В результате налоговая нагрузка, рассчитанная как отношение сумм налога на прибыль и Н</w:t>
      </w:r>
      <w:proofErr w:type="gramStart"/>
      <w:r>
        <w:t>ДС к ст</w:t>
      </w:r>
      <w:proofErr w:type="gramEnd"/>
      <w:r>
        <w:t>оимости реализованной продукции для предприятия на общем режиме налогообложения, составит 7,6%. Налоговая нагрузка типового предприятия с аналогичными финансовыми результатами на упрощенной системе налогообложения составляет:</w:t>
      </w:r>
    </w:p>
    <w:p w:rsidR="00CB3D4A" w:rsidRDefault="00CB3D4A" w:rsidP="00CB3D4A">
      <w:r>
        <w:t>- для УСН "Доходы" по ставке 6% - 3% (с учетом права уменьшения суммы исчисленного налога на уплаченные страховые взносы);</w:t>
      </w:r>
    </w:p>
    <w:p w:rsidR="00CB3D4A" w:rsidRDefault="00CB3D4A" w:rsidP="00CB3D4A">
      <w:r>
        <w:t>- для УСН "Доходы минус расходы" по ставке 15% - 2,24%.</w:t>
      </w:r>
    </w:p>
    <w:p w:rsidR="00CB3D4A" w:rsidRDefault="00CB3D4A" w:rsidP="00CB3D4A">
      <w:r>
        <w:t xml:space="preserve">Таким </w:t>
      </w:r>
      <w:proofErr w:type="gramStart"/>
      <w:r>
        <w:t>образом</w:t>
      </w:r>
      <w:proofErr w:type="gramEnd"/>
      <w:r>
        <w:t xml:space="preserve"> налоговая нагрузка при применении УСН в 2 раза ниже, чем на</w:t>
      </w:r>
      <w:r w:rsidR="000A7EBC">
        <w:t xml:space="preserve"> общем режиме налогообложения. </w:t>
      </w:r>
      <w:bookmarkStart w:id="0" w:name="_GoBack"/>
      <w:bookmarkEnd w:id="0"/>
    </w:p>
    <w:p w:rsidR="00CB3D4A" w:rsidRDefault="00CB3D4A" w:rsidP="00CB3D4A">
      <w:r>
        <w:t xml:space="preserve">8. По мнению Минфина </w:t>
      </w:r>
      <w:proofErr w:type="gramStart"/>
      <w:r>
        <w:t>России</w:t>
      </w:r>
      <w:proofErr w:type="gramEnd"/>
      <w:r>
        <w:t xml:space="preserve"> исключение организации из ЕГРЮЛ не всегда позволяет отнести ее задолженность к безнадежной. </w:t>
      </w:r>
    </w:p>
    <w:p w:rsidR="00CB3D4A" w:rsidRDefault="00CB3D4A" w:rsidP="00CB3D4A">
      <w:proofErr w:type="gramStart"/>
      <w:r>
        <w:t>Минфин России в письме от 16.08.2019 N 03-03-06/1/62253 проанализировав положения п. 5 ст. 21.1 Закона N 129-ФЗ пришло к выводу, что исключение организации из ЕГРЮЛ по основаниям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(наличия в ЕГРЮЛ сведений, в отношении которых внесена запись</w:t>
      </w:r>
      <w:proofErr w:type="gramEnd"/>
      <w:r>
        <w:t xml:space="preserve"> об их недостоверности, в течение более чем шести месяцев с момента внесения такой записи) не является ликвидацией. В связи с этим, кредитор не вправе включить в состав внереализационных расходов задолженность такого лица как убытки в виде безнадежной задолженности.</w:t>
      </w:r>
    </w:p>
    <w:p w:rsidR="002142FA" w:rsidRDefault="00CB3D4A" w:rsidP="00CB3D4A">
      <w:r>
        <w:t>9. При вексельных расчетах между организациями, также как при проведении зачетов встречных требований применение контрольно-кассовой техники не требуется. Смотрите письма Минфина России от 12.09.2019 N 03-01-15/70359, от 02.08.2019 N 03-01-15/58437, ФНС России от 21.08.2019 N АС-4-20/16571@</w:t>
      </w:r>
    </w:p>
    <w:sectPr w:rsidR="00214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6B"/>
    <w:rsid w:val="000A7EBC"/>
    <w:rsid w:val="002142FA"/>
    <w:rsid w:val="00244578"/>
    <w:rsid w:val="005A629B"/>
    <w:rsid w:val="006908EA"/>
    <w:rsid w:val="00825AB9"/>
    <w:rsid w:val="00B874D6"/>
    <w:rsid w:val="00CB3D4A"/>
    <w:rsid w:val="00DF1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914</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Колиошко</dc:creator>
  <cp:lastModifiedBy>Мария Колиошко</cp:lastModifiedBy>
  <cp:revision>5</cp:revision>
  <cp:lastPrinted>2019-10-24T06:16:00Z</cp:lastPrinted>
  <dcterms:created xsi:type="dcterms:W3CDTF">2019-10-24T04:17:00Z</dcterms:created>
  <dcterms:modified xsi:type="dcterms:W3CDTF">2019-10-24T06:24:00Z</dcterms:modified>
</cp:coreProperties>
</file>