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05" w:rsidRPr="00652F05" w:rsidRDefault="00652F05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Ключевая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ставка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ЦБ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</w:p>
    <w:p w:rsidR="00D34CB5" w:rsidRPr="00D34CB5" w:rsidRDefault="00652F05" w:rsidP="00D34CB5">
      <w:pPr>
        <w:wordWrap w:val="0"/>
        <w:spacing w:before="100" w:after="100"/>
        <w:ind w:left="60" w:right="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роцентн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рефинансирования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(учетн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CB5"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23.04.2021</w:t>
      </w:r>
      <w:r w:rsid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3320" w:rsidRDefault="00543320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CB5" w:rsidRPr="00D34CB5" w:rsidRDefault="00D34CB5" w:rsidP="00D34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Нерабочие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праздничные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дни</w:t>
      </w:r>
    </w:p>
    <w:p w:rsidR="00D34CB5" w:rsidRDefault="00D34CB5" w:rsidP="003E2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№242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202г.»,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3E273C" w:rsidRDefault="003E273C" w:rsidP="003E2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3E273C" w:rsidRPr="003E273C" w:rsidRDefault="003E273C" w:rsidP="003E2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(отработал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оплате).</w:t>
      </w:r>
    </w:p>
    <w:p w:rsidR="003E273C" w:rsidRDefault="003E273C" w:rsidP="003E2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двукратном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anchor="h5368" w:tgtFrame="_blank" w:history="1">
        <w:r w:rsidRPr="003E2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межпраздничные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размере.</w:t>
      </w:r>
    </w:p>
    <w:p w:rsidR="00D34CB5" w:rsidRDefault="00D34CB5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F05" w:rsidRPr="00652F05" w:rsidRDefault="00652F05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НДФЛ</w:t>
      </w:r>
    </w:p>
    <w:p w:rsidR="00911171" w:rsidRDefault="00911171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6-НДФЛ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15.10.20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№ЕД-7-11/753@)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F05" w:rsidRDefault="00652F05" w:rsidP="001B2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06.04.21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БС-4-11/4577@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пояснили,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«начисленный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отпускные?</w:t>
      </w:r>
    </w:p>
    <w:p w:rsidR="00911171" w:rsidRDefault="003E6FE7" w:rsidP="00911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производимые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6FE7" w:rsidRPr="00652F05" w:rsidRDefault="003E6FE7" w:rsidP="00911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разъясняется,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применялась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13%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перечислялся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9111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КБК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02010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6-НДФЛ</w:t>
      </w:r>
      <w:r w:rsidR="0054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4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h6191" w:tgtFrame="_blank" w:history="1">
        <w:r w:rsidRPr="009111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224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ставка.</w:t>
      </w:r>
    </w:p>
    <w:p w:rsidR="003E6FE7" w:rsidRPr="00652F05" w:rsidRDefault="003E6FE7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12.04.21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БС-4-11/4935@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пояснили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6-НДФЛ,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h6201" w:tgtFrame="_blank" w:history="1">
        <w:r w:rsidR="00911171"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226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71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РФ)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FE7" w:rsidRPr="00652F05" w:rsidRDefault="00911171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6-НДФЛ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E7"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периода:</w:t>
      </w:r>
    </w:p>
    <w:p w:rsidR="003E6FE7" w:rsidRPr="00652F05" w:rsidRDefault="003E6FE7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="001B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(январь-март)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FE7" w:rsidRPr="00652F05" w:rsidRDefault="003E6FE7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="001B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(01.04.2021)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FE7" w:rsidRPr="00652F05" w:rsidRDefault="003E6FE7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="001B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(сумма НДФЛ с заработной платы за март 2021)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FE7" w:rsidRPr="00652F05" w:rsidRDefault="003E6FE7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равняться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022.</w:t>
      </w:r>
    </w:p>
    <w:p w:rsidR="003E6FE7" w:rsidRPr="00652F05" w:rsidRDefault="003E6FE7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налога.</w:t>
      </w:r>
    </w:p>
    <w:p w:rsidR="00E46CD4" w:rsidRDefault="00E46CD4" w:rsidP="00C600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1171" w:rsidRPr="00911171" w:rsidRDefault="00911171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НДС</w:t>
      </w:r>
    </w:p>
    <w:p w:rsidR="00140409" w:rsidRPr="00652F05" w:rsidRDefault="00140409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фактуры,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</w:t>
      </w:r>
      <w:r w:rsidR="00911171" w:rsidRPr="0091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02.04.21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534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корректировочного),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счетов-фактур,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товаров.</w:t>
      </w:r>
    </w:p>
    <w:p w:rsidR="00140409" w:rsidRPr="00911171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Счет-фактура</w:t>
      </w:r>
    </w:p>
    <w:p w:rsidR="00140409" w:rsidRPr="00C600D3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Строка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5а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«Документ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отгрузке»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«шапке»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«Документ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п/п».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отгрузочных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«;».</w:t>
      </w:r>
    </w:p>
    <w:p w:rsidR="00140409" w:rsidRPr="00C600D3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Графа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«Порядковый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номер»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товара.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услуг).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1б.</w:t>
      </w:r>
    </w:p>
    <w:p w:rsidR="00140409" w:rsidRPr="00C600D3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Графа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«Регистрационный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декларации»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3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(ранее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3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3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43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ГТД)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вписать: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ввезенных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декларирование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ЕАЭС);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10" w:tgtFrame="_blank" w:history="1"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2021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году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вводится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система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прослеживаемости</w:t>
        </w:r>
        <w:proofErr w:type="spellEnd"/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импортного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товара: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что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изменится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компаний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</w:t>
        </w:r>
        <w:r w:rsidR="003E273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ИП</w:t>
        </w:r>
      </w:hyperlink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Графы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12,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12а,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прослеживаемых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товаров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60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E2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(ПТ).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сведения: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соответственно);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</w:t>
      </w:r>
    </w:p>
    <w:p w:rsidR="00140409" w:rsidRPr="00C600D3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учета,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покупок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</w:t>
      </w:r>
    </w:p>
    <w:p w:rsidR="00140409" w:rsidRPr="00652F05" w:rsidRDefault="00140409" w:rsidP="00C60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скорректированы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счетов-фактур,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товарах.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код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НДС.</w:t>
      </w:r>
    </w:p>
    <w:p w:rsidR="00140409" w:rsidRPr="00C600D3" w:rsidRDefault="00140409" w:rsidP="00C600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электронном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</w:t>
      </w:r>
    </w:p>
    <w:p w:rsidR="00140409" w:rsidRPr="00652F05" w:rsidRDefault="00140409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бумаге,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hyperlink r:id="rId11" w:anchor="h4442" w:tgtFrame="_blank" w:history="1"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169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РФ).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прослеживаемыми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товарами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корректировочные)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(новый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п.1.2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hyperlink r:id="rId12" w:anchor="h4442" w:tgtFrame="_blank" w:history="1"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169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РФ;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371-ФЗ).</w:t>
      </w:r>
    </w:p>
    <w:p w:rsidR="00140409" w:rsidRPr="00652F05" w:rsidRDefault="00140409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(новый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anchor="h4442" w:tgtFrame="_blank" w:history="1">
        <w:r w:rsidRPr="00652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169</w:t>
        </w:r>
      </w:hyperlink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РФ;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371-ФЗ).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допустимы: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предпринимательством;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плательщикам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0D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ессиональный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(реэкспорте)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ПТ;</w:t>
      </w:r>
    </w:p>
    <w:p w:rsidR="00140409" w:rsidRPr="00652F05" w:rsidRDefault="00140409" w:rsidP="00C600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страны-участницы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ЕАЭС.</w:t>
      </w:r>
    </w:p>
    <w:p w:rsidR="00140409" w:rsidRPr="00652F05" w:rsidRDefault="00140409" w:rsidP="005433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плательщиком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уплаты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2021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3E2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счет-фактуру.</w:t>
      </w:r>
    </w:p>
    <w:p w:rsidR="00140409" w:rsidRPr="00C600D3" w:rsidRDefault="00C600D3" w:rsidP="00543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выставления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счетов-фактур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электронной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925C4" w:rsidRPr="00C600D3" w:rsidRDefault="007925C4" w:rsidP="00C6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D3">
        <w:rPr>
          <w:rFonts w:ascii="Times New Roman" w:hAnsi="Times New Roman" w:cs="Times New Roman"/>
          <w:sz w:val="24"/>
          <w:szCs w:val="24"/>
        </w:rPr>
        <w:t>Минфин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приказом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E2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  <w:u w:val="single"/>
        </w:rPr>
        <w:t>05.02.21</w:t>
      </w:r>
      <w:r w:rsidR="003E2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E2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  <w:u w:val="single"/>
        </w:rPr>
        <w:t>14н</w:t>
      </w:r>
      <w:r w:rsidR="003E2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утвердил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новый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порядок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выставления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получения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счетов-фактур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электронной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форме.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Обновленные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правила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начнут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действовать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июля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2021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года.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этой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же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даты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утратит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силу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приказ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Минфина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C600D3">
          <w:rPr>
            <w:rFonts w:ascii="Times New Roman" w:hAnsi="Times New Roman" w:cs="Times New Roman"/>
            <w:sz w:val="24"/>
            <w:szCs w:val="24"/>
          </w:rPr>
          <w:t>от</w:t>
        </w:r>
        <w:r w:rsidR="003E27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00D3">
          <w:rPr>
            <w:rFonts w:ascii="Times New Roman" w:hAnsi="Times New Roman" w:cs="Times New Roman"/>
            <w:sz w:val="24"/>
            <w:szCs w:val="24"/>
          </w:rPr>
          <w:t>10.11.15</w:t>
        </w:r>
        <w:r w:rsidR="003E27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00D3">
          <w:rPr>
            <w:rFonts w:ascii="Times New Roman" w:hAnsi="Times New Roman" w:cs="Times New Roman"/>
            <w:sz w:val="24"/>
            <w:szCs w:val="24"/>
          </w:rPr>
          <w:t>№</w:t>
        </w:r>
        <w:r w:rsidR="003E27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600D3">
          <w:rPr>
            <w:rFonts w:ascii="Times New Roman" w:hAnsi="Times New Roman" w:cs="Times New Roman"/>
            <w:sz w:val="24"/>
            <w:szCs w:val="24"/>
          </w:rPr>
          <w:t>174н</w:t>
        </w:r>
      </w:hyperlink>
      <w:r w:rsidRPr="00C600D3">
        <w:rPr>
          <w:rFonts w:ascii="Times New Roman" w:hAnsi="Times New Roman" w:cs="Times New Roman"/>
          <w:sz w:val="24"/>
          <w:szCs w:val="24"/>
        </w:rPr>
        <w:t>,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которым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утвержден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действующий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порядок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обмена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электронными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счетами-фактурами.</w:t>
      </w:r>
    </w:p>
    <w:p w:rsidR="007925C4" w:rsidRPr="00652F05" w:rsidRDefault="007925C4" w:rsidP="0065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3C" w:rsidRPr="003E273C" w:rsidRDefault="003E273C" w:rsidP="003E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ФСС</w:t>
      </w:r>
    </w:p>
    <w:p w:rsidR="003E273C" w:rsidRPr="003E273C" w:rsidRDefault="003E273C" w:rsidP="003E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73C">
        <w:rPr>
          <w:rFonts w:ascii="Times New Roman" w:hAnsi="Times New Roman" w:cs="Times New Roman"/>
          <w:sz w:val="24"/>
          <w:szCs w:val="24"/>
        </w:rPr>
        <w:t>ФСС утвердил формы реестро</w:t>
      </w:r>
      <w:r>
        <w:rPr>
          <w:rFonts w:ascii="Times New Roman" w:hAnsi="Times New Roman" w:cs="Times New Roman"/>
          <w:sz w:val="24"/>
          <w:szCs w:val="24"/>
        </w:rPr>
        <w:t xml:space="preserve">в, которые работодатели сдают в </w:t>
      </w:r>
      <w:r w:rsidRPr="003E273C">
        <w:rPr>
          <w:rFonts w:ascii="Times New Roman" w:hAnsi="Times New Roman" w:cs="Times New Roman"/>
          <w:sz w:val="24"/>
          <w:szCs w:val="24"/>
        </w:rPr>
        <w:t>Фонд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3C">
        <w:rPr>
          <w:rFonts w:ascii="Times New Roman" w:hAnsi="Times New Roman" w:cs="Times New Roman"/>
          <w:sz w:val="24"/>
          <w:szCs w:val="24"/>
        </w:rPr>
        <w:t>прямых выплат пособий</w:t>
      </w:r>
      <w:r>
        <w:rPr>
          <w:rFonts w:ascii="Times New Roman" w:hAnsi="Times New Roman" w:cs="Times New Roman"/>
          <w:sz w:val="24"/>
          <w:szCs w:val="24"/>
        </w:rPr>
        <w:t xml:space="preserve">. Приказом </w:t>
      </w:r>
      <w:r w:rsidRPr="003E273C">
        <w:rPr>
          <w:rFonts w:ascii="Times New Roman" w:hAnsi="Times New Roman" w:cs="Times New Roman"/>
          <w:sz w:val="24"/>
          <w:szCs w:val="24"/>
        </w:rPr>
        <w:t>от 04.02.</w:t>
      </w:r>
      <w:r w:rsidR="000D79A1">
        <w:rPr>
          <w:rFonts w:ascii="Times New Roman" w:hAnsi="Times New Roman" w:cs="Times New Roman"/>
          <w:sz w:val="24"/>
          <w:szCs w:val="24"/>
        </w:rPr>
        <w:t>20</w:t>
      </w:r>
      <w:r w:rsidRPr="003E273C">
        <w:rPr>
          <w:rFonts w:ascii="Times New Roman" w:hAnsi="Times New Roman" w:cs="Times New Roman"/>
          <w:sz w:val="24"/>
          <w:szCs w:val="24"/>
        </w:rPr>
        <w:t>21 №26 утверждены формы и порядок заполнения документов, применяемых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3C">
        <w:rPr>
          <w:rFonts w:ascii="Times New Roman" w:hAnsi="Times New Roman" w:cs="Times New Roman"/>
          <w:sz w:val="24"/>
          <w:szCs w:val="24"/>
        </w:rPr>
        <w:t>выплаты больничных, «детских»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3C">
        <w:rPr>
          <w:rFonts w:ascii="Times New Roman" w:hAnsi="Times New Roman" w:cs="Times New Roman"/>
          <w:sz w:val="24"/>
          <w:szCs w:val="24"/>
        </w:rPr>
        <w:t xml:space="preserve">иных пособий. </w:t>
      </w:r>
      <w:r>
        <w:rPr>
          <w:rFonts w:ascii="Times New Roman" w:hAnsi="Times New Roman" w:cs="Times New Roman"/>
          <w:sz w:val="24"/>
          <w:szCs w:val="24"/>
        </w:rPr>
        <w:t xml:space="preserve">Всего в приказе содержится 71 банков, в том числе: </w:t>
      </w:r>
      <w:r w:rsidRPr="003E273C">
        <w:rPr>
          <w:rFonts w:ascii="Times New Roman" w:hAnsi="Times New Roman" w:cs="Times New Roman"/>
          <w:sz w:val="24"/>
          <w:szCs w:val="24"/>
        </w:rPr>
        <w:t xml:space="preserve">реестр сведений, </w:t>
      </w:r>
      <w:r>
        <w:rPr>
          <w:rFonts w:ascii="Times New Roman" w:hAnsi="Times New Roman" w:cs="Times New Roman"/>
          <w:sz w:val="24"/>
          <w:szCs w:val="24"/>
        </w:rPr>
        <w:t>представляемых работодателем в ФСС</w:t>
      </w:r>
      <w:r w:rsidRPr="003E273C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3C">
        <w:rPr>
          <w:rFonts w:ascii="Times New Roman" w:hAnsi="Times New Roman" w:cs="Times New Roman"/>
          <w:sz w:val="24"/>
          <w:szCs w:val="24"/>
        </w:rPr>
        <w:t xml:space="preserve">выплаты пособий,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3E273C">
        <w:rPr>
          <w:rFonts w:ascii="Times New Roman" w:hAnsi="Times New Roman" w:cs="Times New Roman"/>
          <w:sz w:val="24"/>
          <w:szCs w:val="24"/>
        </w:rPr>
        <w:t>застрахованном лице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3C">
        <w:rPr>
          <w:rFonts w:ascii="Times New Roman" w:hAnsi="Times New Roman" w:cs="Times New Roman"/>
          <w:sz w:val="24"/>
          <w:szCs w:val="24"/>
        </w:rPr>
        <w:t>заявление о перерасчете ранее назначенного пособия.</w:t>
      </w:r>
    </w:p>
    <w:p w:rsidR="003E273C" w:rsidRDefault="003E273C" w:rsidP="0065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B5" w:rsidRPr="00D34CB5" w:rsidRDefault="00D34CB5" w:rsidP="00D34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цифровая</w:t>
      </w:r>
      <w:r w:rsidR="003E2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4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подпись</w:t>
      </w:r>
    </w:p>
    <w:p w:rsidR="00D34CB5" w:rsidRPr="003C1C22" w:rsidRDefault="003C1C22" w:rsidP="003C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22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июля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2021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года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получить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квалифицированную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электронную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подпись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для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юридических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лиц,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индивидуальных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нотариусов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можно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будет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бесплатно.</w:t>
      </w:r>
    </w:p>
    <w:p w:rsidR="00D34CB5" w:rsidRPr="003C1C22" w:rsidRDefault="00D34CB5" w:rsidP="003C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22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января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2022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года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на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ФНС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России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возлагаются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функции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выпуску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электронной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подписи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юридических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лиц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(лиц,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имеющих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право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действовать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от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имени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юридического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лица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без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доверенности),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индивидуальных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нотариусов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соответствии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C1C2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об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электронной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подписи.</w:t>
      </w:r>
    </w:p>
    <w:p w:rsidR="00D34CB5" w:rsidRPr="003C1C22" w:rsidRDefault="00D34CB5" w:rsidP="003C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22">
        <w:rPr>
          <w:rFonts w:ascii="Times New Roman" w:hAnsi="Times New Roman" w:cs="Times New Roman"/>
          <w:sz w:val="24"/>
          <w:szCs w:val="24"/>
        </w:rPr>
        <w:t>Однако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уже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июля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2021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года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ФНС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России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планирует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оказывать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эту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услугу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для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"бесшовного"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перехода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от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платного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варианта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коммерческих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аккредитованных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удостоверяющих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центров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(АУЦ)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к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соответствующей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безвозмездной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государственной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услуге,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оказываемой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АУЦ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ФНС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Pr="003C1C22">
        <w:rPr>
          <w:rFonts w:ascii="Times New Roman" w:hAnsi="Times New Roman" w:cs="Times New Roman"/>
          <w:sz w:val="24"/>
          <w:szCs w:val="24"/>
        </w:rPr>
        <w:t>России.</w:t>
      </w:r>
    </w:p>
    <w:p w:rsidR="00D34CB5" w:rsidRPr="00652F05" w:rsidRDefault="003C1C22" w:rsidP="00B84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B5" w:rsidRPr="003C1C22">
        <w:rPr>
          <w:rFonts w:ascii="Times New Roman" w:hAnsi="Times New Roman" w:cs="Times New Roman"/>
          <w:sz w:val="24"/>
          <w:szCs w:val="24"/>
        </w:rPr>
        <w:t>рок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действия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выпущенных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коммерческими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АУЦ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сертификатов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электронной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подписи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ограничен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1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января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2022</w:t>
      </w:r>
      <w:r w:rsidR="003E273C">
        <w:rPr>
          <w:rFonts w:ascii="Times New Roman" w:hAnsi="Times New Roman" w:cs="Times New Roman"/>
          <w:sz w:val="24"/>
          <w:szCs w:val="24"/>
        </w:rPr>
        <w:t xml:space="preserve"> </w:t>
      </w:r>
      <w:r w:rsidR="00D34CB5" w:rsidRPr="003C1C22">
        <w:rPr>
          <w:rFonts w:ascii="Times New Roman" w:hAnsi="Times New Roman" w:cs="Times New Roman"/>
          <w:sz w:val="24"/>
          <w:szCs w:val="24"/>
        </w:rPr>
        <w:t>года.</w:t>
      </w:r>
    </w:p>
    <w:sectPr w:rsidR="00D34CB5" w:rsidRPr="0065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E6B"/>
    <w:multiLevelType w:val="multilevel"/>
    <w:tmpl w:val="FB4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661BF"/>
    <w:multiLevelType w:val="multilevel"/>
    <w:tmpl w:val="555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3AF1"/>
    <w:multiLevelType w:val="multilevel"/>
    <w:tmpl w:val="E64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23EB"/>
    <w:multiLevelType w:val="multilevel"/>
    <w:tmpl w:val="4A7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24911"/>
    <w:multiLevelType w:val="multilevel"/>
    <w:tmpl w:val="8C565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913F0"/>
    <w:multiLevelType w:val="multilevel"/>
    <w:tmpl w:val="01D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66DAD"/>
    <w:multiLevelType w:val="multilevel"/>
    <w:tmpl w:val="9FC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B241E"/>
    <w:multiLevelType w:val="multilevel"/>
    <w:tmpl w:val="B6D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65F05"/>
    <w:multiLevelType w:val="multilevel"/>
    <w:tmpl w:val="184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04901"/>
    <w:multiLevelType w:val="multilevel"/>
    <w:tmpl w:val="E72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7"/>
    <w:rsid w:val="000D79A1"/>
    <w:rsid w:val="00140409"/>
    <w:rsid w:val="001B2304"/>
    <w:rsid w:val="00277F57"/>
    <w:rsid w:val="003C1C22"/>
    <w:rsid w:val="003E273C"/>
    <w:rsid w:val="003E6FE7"/>
    <w:rsid w:val="00543320"/>
    <w:rsid w:val="00652F05"/>
    <w:rsid w:val="007925C4"/>
    <w:rsid w:val="00911171"/>
    <w:rsid w:val="00B84C55"/>
    <w:rsid w:val="00C53470"/>
    <w:rsid w:val="00C600D3"/>
    <w:rsid w:val="00D34CB5"/>
    <w:rsid w:val="00E46CD4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00D"/>
  <w15:chartTrackingRefBased/>
  <w15:docId w15:val="{2CA362FF-0F17-42B9-A393-8865C4EA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FE7"/>
    <w:rPr>
      <w:color w:val="0000FF"/>
      <w:u w:val="single"/>
    </w:rPr>
  </w:style>
  <w:style w:type="character" w:customStyle="1" w:styleId="content-product-title">
    <w:name w:val="content-product-title"/>
    <w:basedOn w:val="a0"/>
    <w:rsid w:val="003E6FE7"/>
  </w:style>
  <w:style w:type="character" w:customStyle="1" w:styleId="figuretext">
    <w:name w:val="figure__text"/>
    <w:basedOn w:val="a0"/>
    <w:rsid w:val="003E6FE7"/>
  </w:style>
  <w:style w:type="character" w:customStyle="1" w:styleId="10">
    <w:name w:val="Заголовок 1 Знак"/>
    <w:basedOn w:val="a0"/>
    <w:link w:val="1"/>
    <w:uiPriority w:val="9"/>
    <w:rsid w:val="00140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le-autorinfo">
    <w:name w:val="tile-autor__info"/>
    <w:basedOn w:val="a0"/>
    <w:rsid w:val="00140409"/>
  </w:style>
  <w:style w:type="character" w:customStyle="1" w:styleId="tile-autorwork">
    <w:name w:val="tile-autor__work"/>
    <w:basedOn w:val="a0"/>
    <w:rsid w:val="00140409"/>
  </w:style>
  <w:style w:type="character" w:styleId="a5">
    <w:name w:val="Emphasis"/>
    <w:basedOn w:val="a0"/>
    <w:uiPriority w:val="20"/>
    <w:qFormat/>
    <w:rsid w:val="00140409"/>
    <w:rPr>
      <w:i/>
      <w:iCs/>
    </w:rPr>
  </w:style>
  <w:style w:type="character" w:customStyle="1" w:styleId="figuretitle">
    <w:name w:val="figure__title"/>
    <w:basedOn w:val="a0"/>
    <w:rsid w:val="00140409"/>
  </w:style>
  <w:style w:type="paragraph" w:styleId="a6">
    <w:name w:val="List Paragraph"/>
    <w:basedOn w:val="a"/>
    <w:uiPriority w:val="34"/>
    <w:qFormat/>
    <w:rsid w:val="007925C4"/>
    <w:pPr>
      <w:ind w:left="720"/>
      <w:contextualSpacing/>
    </w:pPr>
  </w:style>
  <w:style w:type="character" w:customStyle="1" w:styleId="apple-converted-space">
    <w:name w:val="apple-converted-space"/>
    <w:basedOn w:val="a0"/>
    <w:rsid w:val="003E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125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80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0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11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80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23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8678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64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7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96704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4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7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4135&amp;utm_source=buhonline&amp;utm_medium=content&amp;utm_campaign=content-link-buhonline&amp;utm_content=tag-ndfl&amp;utm_term=pub16494&amp;promocode=0957" TargetMode="External"/><Relationship Id="rId13" Type="http://schemas.openxmlformats.org/officeDocument/2006/relationships/hyperlink" Target="https://normativ.kontur.ru/document?moduleId=1&amp;documentId=384135&amp;utm_source=buhonline&amp;utm_medium=content&amp;utm_campaign=content-link-buhonline&amp;utm_content=tag-nds&amp;utm_term=pub16485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4135&amp;utm_source=buhonline&amp;utm_medium=content&amp;utm_campaign=content-link-buhonline&amp;utm_content=tag-ndfl&amp;utm_term=pub16491&amp;promocode=0957" TargetMode="External"/><Relationship Id="rId12" Type="http://schemas.openxmlformats.org/officeDocument/2006/relationships/hyperlink" Target="https://normativ.kontur.ru/document?moduleId=1&amp;documentId=384135&amp;utm_source=buhonline&amp;utm_medium=content&amp;utm_campaign=content-link-buhonline&amp;utm_content=tag-nds&amp;utm_term=pub16485&amp;promocode=09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uhonline.ru/kbk-2021" TargetMode="External"/><Relationship Id="rId11" Type="http://schemas.openxmlformats.org/officeDocument/2006/relationships/hyperlink" Target="https://normativ.kontur.ru/document?moduleId=1&amp;documentId=384135&amp;utm_source=buhonline&amp;utm_medium=content&amp;utm_campaign=content-link-buhonline&amp;utm_content=tag-nds&amp;utm_term=pub16485&amp;promocode=0957" TargetMode="External"/><Relationship Id="rId5" Type="http://schemas.openxmlformats.org/officeDocument/2006/relationships/hyperlink" Target="https://normativ.kontur.ru/document?moduleId=1&amp;documentId=388598&amp;utm_source=buhonline&amp;utm_medium=content&amp;utm_campaign=content-link-buhonline&amp;utm_content=tag-trudovye-otnosheniya&amp;utm_term=pub16513&amp;promocode=0957" TargetMode="External"/><Relationship Id="rId15" Type="http://schemas.openxmlformats.org/officeDocument/2006/relationships/hyperlink" Target="https://login.consultant.ru/link/?rnd=06FDCBFD1D4E260EF01F9AE09A30D4D4&amp;req=doc&amp;base=RZR&amp;n=377776&amp;dst=100220&amp;fld=134&amp;REFFIELD=134&amp;REFDST=100004&amp;REFDOC=373212&amp;REFBASE=RZR&amp;stat=refcode%3D10898%3Bdstident%3D100220%3Bindex%3D10&amp;date=26.04.2021" TargetMode="External"/><Relationship Id="rId10" Type="http://schemas.openxmlformats.org/officeDocument/2006/relationships/hyperlink" Target="https://www.buhonline.ru/pub/tks/2020/12/16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100&amp;documentId=19112&amp;utm_source=buhonline&amp;utm_medium=content&amp;utm_campaign=content-link-buhonline&amp;utm_content=tag-nds&amp;utm_term=pub16485&amp;promocode=0957" TargetMode="External"/><Relationship Id="rId14" Type="http://schemas.openxmlformats.org/officeDocument/2006/relationships/hyperlink" Target="https://normativ.kontur.ru/document?moduleId=1&amp;documentId=268278&amp;utm_source=buhonline&amp;utm_medium=content&amp;utm_campaign=content-link-buhonline&amp;utm_content=tag-elektronnyj-dokumentooborot&amp;utm_term=pub16426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Наталья Игоревна</dc:creator>
  <cp:keywords/>
  <dc:description/>
  <cp:lastModifiedBy>Савенко Наталья Игоревна</cp:lastModifiedBy>
  <cp:revision>7</cp:revision>
  <dcterms:created xsi:type="dcterms:W3CDTF">2021-04-23T12:10:00Z</dcterms:created>
  <dcterms:modified xsi:type="dcterms:W3CDTF">2021-04-28T06:30:00Z</dcterms:modified>
</cp:coreProperties>
</file>