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BF" w:rsidRPr="003B1016" w:rsidRDefault="009B60BF" w:rsidP="009B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значимы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событий в области налогового 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Департамента консалтинга АФ АВУАР</w:t>
      </w:r>
      <w:bookmarkStart w:id="0" w:name="_GoBack"/>
      <w:bookmarkEnd w:id="0"/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60BF" w:rsidRDefault="009B60BF" w:rsidP="00E4662E">
      <w:pPr>
        <w:rPr>
          <w:b/>
        </w:rPr>
      </w:pPr>
    </w:p>
    <w:p w:rsidR="00E4662E" w:rsidRPr="00E4662E" w:rsidRDefault="00E4662E" w:rsidP="00E4662E">
      <w:pPr>
        <w:rPr>
          <w:b/>
        </w:rPr>
      </w:pPr>
      <w:r w:rsidRPr="00E4662E">
        <w:rPr>
          <w:b/>
        </w:rPr>
        <w:t>Особенности налогообложения различных видов недвижимости</w:t>
      </w:r>
    </w:p>
    <w:p w:rsidR="00E4662E" w:rsidRDefault="00E4662E" w:rsidP="00E4662E">
      <w:r>
        <w:t xml:space="preserve">Налоговое законодательство к объектам налогооблагаемого имущества относит </w:t>
      </w:r>
    </w:p>
    <w:p w:rsidR="00E4662E" w:rsidRPr="00E4662E" w:rsidRDefault="00E4662E" w:rsidP="00E4662E">
      <w:pPr>
        <w:pStyle w:val="a3"/>
        <w:numPr>
          <w:ilvl w:val="0"/>
          <w:numId w:val="1"/>
        </w:numPr>
      </w:pPr>
      <w:r>
        <w:t>недвижимость, учитываемую на балансе организации в качестве объекта основных средств, если налоговая база в отношении нее определяется как среднегодовая стоимость имущества (п. 1 ст. 375, ст. 378, ст. 378.1 Налогового кодекса)</w:t>
      </w:r>
      <w:r w:rsidRPr="00E4662E">
        <w:t>;</w:t>
      </w:r>
    </w:p>
    <w:p w:rsidR="00E4662E" w:rsidRDefault="00E4662E" w:rsidP="00E4662E">
      <w:pPr>
        <w:pStyle w:val="a3"/>
        <w:numPr>
          <w:ilvl w:val="0"/>
          <w:numId w:val="1"/>
        </w:numPr>
      </w:pPr>
      <w:r>
        <w:t>недвижимое имущество, находящееся на территории России, если налоговая база по нему определяется как кадастровая стоимость (п. 2 ст. 375 НК РФ).</w:t>
      </w:r>
    </w:p>
    <w:p w:rsidR="00E4662E" w:rsidRDefault="00E4662E" w:rsidP="00E4662E">
      <w:r>
        <w:t xml:space="preserve">К последним, в частности относят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административно-деловые и торговые центры (комплексы) и помещения в них,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нежилые помещения под офисы,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торговые объекты,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объекты общественного питания и бытового обслуживания,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недвижимость иностранных организаций, не осуществляющих деятельности в России через постоянные представительства,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жилые помещения,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гаражи, </w:t>
      </w:r>
    </w:p>
    <w:p w:rsidR="00E4662E" w:rsidRDefault="00E4662E" w:rsidP="00E4662E">
      <w:pPr>
        <w:pStyle w:val="a3"/>
        <w:numPr>
          <w:ilvl w:val="0"/>
          <w:numId w:val="2"/>
        </w:numPr>
      </w:pPr>
      <w:proofErr w:type="spellStart"/>
      <w:r>
        <w:t>машино</w:t>
      </w:r>
      <w:proofErr w:type="spellEnd"/>
      <w:r>
        <w:t xml:space="preserve">-места,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объекты незавершенного строительства,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жилые строения,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 xml:space="preserve">садовые дома, </w:t>
      </w:r>
    </w:p>
    <w:p w:rsidR="00E4662E" w:rsidRDefault="00E4662E" w:rsidP="00E4662E">
      <w:pPr>
        <w:pStyle w:val="a3"/>
        <w:numPr>
          <w:ilvl w:val="0"/>
          <w:numId w:val="2"/>
        </w:numPr>
      </w:pPr>
      <w:r>
        <w:t>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E4662E" w:rsidRDefault="00E4662E" w:rsidP="00E4662E">
      <w:r>
        <w:t>Для всех вышеуказанных объектов, кроме принадлежащих иностранным организациям, налоговая база определяется как их кадастровая стоимость, внесенная в ЕГРН и подлежащая применению с 1 января года налогового период (п. 2 ст. 375 НК РФ).</w:t>
      </w:r>
    </w:p>
    <w:p w:rsidR="00E4662E" w:rsidRDefault="00E4662E" w:rsidP="00E4662E">
      <w:r>
        <w:t>Для деловых и торговых центров, а также помещений под офисы и торговые объекты, условием налогообложения по кадастровой стоимости является включение их уполномоченным органом исполнительной власти субъекта РФ в перечень объектов недвижимого имущества, в отношении которых налоговая база определяется как кадастровая стоимость, на соответствующий налоговый период (п. 2 ст. 375 НК РФ).</w:t>
      </w:r>
    </w:p>
    <w:p w:rsidR="00E4662E" w:rsidRDefault="00E4662E" w:rsidP="00E4662E">
      <w:r>
        <w:t>Если же кадастровая стоимость вышеуказанных объектов недвижимого имущества была определена в соответствии с российским законодательством в течение налогового (отчетного) периода или такие объекты недвижимого имущества не включены в перечень по состоянию на 1 января года налогового периода, то определять налоговую базу и рассчитывать сумму налога или авансового платежа по текущему налоговому периоду в отношении них нужно будет по общим правилам (без учета ст. 378.2 НК РФ).</w:t>
      </w:r>
    </w:p>
    <w:p w:rsidR="00E4662E" w:rsidRDefault="00E4662E" w:rsidP="00E4662E">
      <w:r>
        <w:t xml:space="preserve">Что касается таких объектов недвижимости, как гаражи, </w:t>
      </w:r>
      <w:proofErr w:type="spellStart"/>
      <w:r>
        <w:t>машино</w:t>
      </w:r>
      <w:proofErr w:type="spellEnd"/>
      <w:r>
        <w:t xml:space="preserve">-места, жилые строения, садовые дома и прочие, поименованные в подп. 4 п. 1 ст. 378.2 НК РФ, то если по ним кадастровая стоимость была определена в течение налогового (отчетного) периода, то налоговая база и суммы налога (авансового платежа) по текущему налоговому периоду рассчитываются исходя из </w:t>
      </w:r>
      <w:r>
        <w:lastRenderedPageBreak/>
        <w:t>кадастровой стоимости, определенной на день внесения в ЕГРН сведений, являющихся основанием для определения кадастровой стоимости (письмо ФНС России от 21 февраля 2020 г. № БС-4-21/3091@).</w:t>
      </w:r>
    </w:p>
    <w:p w:rsidR="00E4662E" w:rsidRDefault="00E4662E" w:rsidP="00E4662E">
      <w:r>
        <w:t>Если же кадастровая стоимость по таким объектам не определена, то налоговая база, а также налог и налог и авансовые платежи определяются по общему правилу без учета вышеуказанных норм.</w:t>
      </w:r>
    </w:p>
    <w:p w:rsidR="00E4662E" w:rsidRDefault="00E4662E" w:rsidP="00E4662E"/>
    <w:p w:rsidR="00E4662E" w:rsidRPr="00E4662E" w:rsidRDefault="00E4662E" w:rsidP="00E4662E">
      <w:pPr>
        <w:rPr>
          <w:b/>
        </w:rPr>
      </w:pPr>
      <w:r w:rsidRPr="00E4662E">
        <w:rPr>
          <w:b/>
        </w:rPr>
        <w:t>Обмен налоговой информацией в электронном виде между странами – участниками СНГ</w:t>
      </w:r>
    </w:p>
    <w:p w:rsidR="00E4662E" w:rsidRDefault="00E4662E" w:rsidP="00E4662E">
      <w:r>
        <w:t xml:space="preserve">В воскресенье президентом РФ был подписан закон о ратификации Протокола об обмене информацией в электронном виде между государствами – участниками СНГ для осуществления налогового администрирования (Федеральный закон от 1 марта 2020 г. № 37-ФЗ "О ратификации Протокола об обмене информацией в электронном виде между государствами - участниками СНГ для осуществления налогового администрирования"). </w:t>
      </w:r>
    </w:p>
    <w:p w:rsidR="00E4662E" w:rsidRDefault="00E4662E" w:rsidP="00E4662E">
      <w:r>
        <w:t>Протокол был подписан 2 ноября 2018 года премьер-министрами Азербайджана, Армении, Казахстана, Киргизии, России, Таджикистана и Узбекистана. Помимо России, в настоящее время документ уже ратифицирован Арменией, Казахстаном и Киргизией.</w:t>
      </w:r>
    </w:p>
    <w:p w:rsidR="00E4662E" w:rsidRDefault="00E4662E" w:rsidP="00E4662E">
      <w:r>
        <w:t>Первый тестовый обмен информацией в рамках этого протокола будет проведен в августе 2020 года. В штатном же режиме обмениваться информацией можно будет уже с 2021 года.</w:t>
      </w:r>
    </w:p>
    <w:p w:rsidR="00E4662E" w:rsidRDefault="00E4662E" w:rsidP="00E4662E">
      <w:r>
        <w:t>Так, налоговые органы стран-участниц будут ежегодно предоставлять и получать информацию о своих резидентах: каким имуществом они владеют и какие доходы получают на территории других государств-участников информационного обмена.</w:t>
      </w:r>
    </w:p>
    <w:p w:rsidR="00E4662E" w:rsidRDefault="00E4662E" w:rsidP="00E4662E">
      <w:r>
        <w:t xml:space="preserve">Как указывает ФНС, это позволит не только более эффективно администрировать налоговые платежи, но и обеспечивать своевременность и полноту поступления налогов в бюджет. Помимо этого, обмен данными положительно скажется на дальнейшее развитие торгово-экономического сотрудничества государств СНГ, а также позволит перейти от налогового контроля к анализу </w:t>
      </w:r>
      <w:r>
        <w:rPr>
          <w:lang w:val="en-US"/>
        </w:rPr>
        <w:t>Big</w:t>
      </w:r>
      <w:r w:rsidRPr="00E4662E">
        <w:t xml:space="preserve"> </w:t>
      </w:r>
      <w:r>
        <w:rPr>
          <w:lang w:val="en-US"/>
        </w:rPr>
        <w:t>data</w:t>
      </w:r>
      <w:r>
        <w:t>.</w:t>
      </w:r>
    </w:p>
    <w:p w:rsidR="00E4662E" w:rsidRDefault="00E4662E" w:rsidP="00E4662E"/>
    <w:p w:rsidR="00E4662E" w:rsidRPr="00E4662E" w:rsidRDefault="00E4662E" w:rsidP="00E4662E">
      <w:pPr>
        <w:rPr>
          <w:b/>
        </w:rPr>
      </w:pPr>
      <w:r w:rsidRPr="00E4662E">
        <w:rPr>
          <w:b/>
        </w:rPr>
        <w:t>Страны, не участвующих в обмене налоговой информацией с РФ</w:t>
      </w:r>
    </w:p>
    <w:p w:rsidR="00E4662E" w:rsidRDefault="00E4662E" w:rsidP="00E4662E">
      <w:r>
        <w:t xml:space="preserve">ФНС России обновила перечень государств и территорий, не обеспечивающих обмен информацией для целей налогообложения с Российской Федерацией (приказ ФНС России от 11 октября 2019 г. № ММВ-7-17/511@). </w:t>
      </w:r>
    </w:p>
    <w:p w:rsidR="00E4662E" w:rsidRDefault="00E4662E" w:rsidP="00E4662E">
      <w:r>
        <w:t>Новый список вступил в силу с 1 января 2020 года – с этого же времени прекращает свое действие ранее утвержденный (приказ ФНС России от 4 декабря 2018 г. № ММВ-7-17/786@).</w:t>
      </w:r>
    </w:p>
    <w:p w:rsidR="00425A80" w:rsidRDefault="00E4662E" w:rsidP="00E4662E">
      <w:r>
        <w:t xml:space="preserve">В обновленном перечне указано 98 стран и 18 территорий – это на две страны меньше, чем в утвержденном ранее. Так, с нового года осуществлять обмен налоговой информацией в должном объеме будут две страны – Панама и Сан-Марино. При этом обмен информацией не будет поддерживаться такими странами, как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Багамы,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Гаити,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Доминиканская Республика,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Иордания,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Камбоджа,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lastRenderedPageBreak/>
        <w:t xml:space="preserve">Мальдивы, 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Нигерия, </w:t>
      </w:r>
    </w:p>
    <w:p w:rsidR="00425A80" w:rsidRDefault="00425A80" w:rsidP="00425A80">
      <w:pPr>
        <w:pStyle w:val="a3"/>
        <w:numPr>
          <w:ilvl w:val="0"/>
          <w:numId w:val="3"/>
        </w:numPr>
      </w:pPr>
      <w:r>
        <w:t>Тунис,</w:t>
      </w:r>
    </w:p>
    <w:p w:rsidR="00425A80" w:rsidRDefault="00E4662E" w:rsidP="00425A80">
      <w:pPr>
        <w:pStyle w:val="a3"/>
        <w:numPr>
          <w:ilvl w:val="0"/>
          <w:numId w:val="3"/>
        </w:numPr>
      </w:pPr>
      <w:r>
        <w:t xml:space="preserve">Ямайка. </w:t>
      </w:r>
    </w:p>
    <w:p w:rsidR="00E4662E" w:rsidRDefault="00E4662E" w:rsidP="00E4662E">
      <w:r>
        <w:t xml:space="preserve">К оффшорным юрисдикциям по-прежнему относятся территория Виргинских островов, Гибралтара, Фарерских островов, специального административного региона Китая Макао, отдельных административных единиц Соединенного королевства Великобритании и Северной Ирландии: остров Мэн и Нормандские острова (Гернси, Джерси, Сарк, </w:t>
      </w:r>
      <w:proofErr w:type="spellStart"/>
      <w:r>
        <w:t>Олдерни</w:t>
      </w:r>
      <w:proofErr w:type="spellEnd"/>
      <w:r>
        <w:t>) и других.</w:t>
      </w:r>
    </w:p>
    <w:p w:rsidR="00E4662E" w:rsidRDefault="00425A80" w:rsidP="00E4662E">
      <w:r>
        <w:t>В</w:t>
      </w:r>
      <w:r w:rsidR="00E4662E">
        <w:t xml:space="preserve"> соответствии с нормами налогового законодательства прибыль контролируемой иностранной компании освобождается от налогообложения в случаях, установленных подп. 3, п. 1 ст. 25.13-1, подп. 5 п. 1 ст. 25.13-1, подп. 6 п. 1 ст. 25.13-1 Налогового кодекса, если постоянным местонахождением такой организации будет являться государство или территория, с которым имеется международный договор РФ по вопросам налогообложения. Исключение составляют только государства и территории, не обеспечивающие обмен информацией для целей налогообложения с Россией (п. 7 ст. 25.13-1 НК РФ).</w:t>
      </w:r>
    </w:p>
    <w:sectPr w:rsidR="00E4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822"/>
    <w:multiLevelType w:val="hybridMultilevel"/>
    <w:tmpl w:val="31BA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52A7"/>
    <w:multiLevelType w:val="hybridMultilevel"/>
    <w:tmpl w:val="159E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31E"/>
    <w:multiLevelType w:val="hybridMultilevel"/>
    <w:tmpl w:val="A76C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B23C1"/>
    <w:rsid w:val="00425A80"/>
    <w:rsid w:val="009B60BF"/>
    <w:rsid w:val="00E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586C"/>
  <w15:chartTrackingRefBased/>
  <w15:docId w15:val="{5521A6D8-57E4-4763-A3D8-C7BB0C69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Klyshkan</dc:creator>
  <cp:keywords/>
  <dc:description/>
  <cp:lastModifiedBy>Журавлев Вячеслав Владимирович</cp:lastModifiedBy>
  <cp:revision>2</cp:revision>
  <dcterms:created xsi:type="dcterms:W3CDTF">2020-03-03T11:57:00Z</dcterms:created>
  <dcterms:modified xsi:type="dcterms:W3CDTF">2020-03-03T11:57:00Z</dcterms:modified>
</cp:coreProperties>
</file>