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2" w:rsidRDefault="00F16E92" w:rsidP="00F16E92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ИНФОРМАЦИОННЫЙ БЮЛЛЕТЕНЬ № 7/2023</w:t>
      </w:r>
    </w:p>
    <w:p w:rsidR="00F674CC" w:rsidRPr="00A876EF" w:rsidRDefault="00F674CC" w:rsidP="00F674CC">
      <w:pPr>
        <w:pStyle w:val="a5"/>
        <w:numPr>
          <w:ilvl w:val="0"/>
          <w:numId w:val="5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F674CC" w:rsidRPr="00847649" w:rsidRDefault="00F674CC" w:rsidP="00F674CC">
      <w:pPr>
        <w:pStyle w:val="a5"/>
        <w:numPr>
          <w:ilvl w:val="0"/>
          <w:numId w:val="4"/>
        </w:numPr>
        <w:ind w:left="0" w:firstLine="426"/>
      </w:pPr>
      <w:r>
        <w:t>Уточняем, что перечисленная ниже информация актуальна на момент до 31.07.23 и будет проходить обновление и изменение в соответствии с дальнейшими решениями Правительства РФ.</w:t>
      </w:r>
    </w:p>
    <w:p w:rsidR="00EC74A1" w:rsidRDefault="00EC74A1" w:rsidP="003923BE">
      <w:pPr>
        <w:spacing w:before="240" w:after="0"/>
        <w:ind w:firstLine="540"/>
        <w:jc w:val="center"/>
      </w:pPr>
      <w:r>
        <w:rPr>
          <w:b/>
          <w:bCs/>
        </w:rPr>
        <w:t>ЦБ РФ повы</w:t>
      </w:r>
      <w:r w:rsidR="00420B58">
        <w:rPr>
          <w:b/>
          <w:bCs/>
        </w:rPr>
        <w:t>сил ключевую ставку</w:t>
      </w:r>
    </w:p>
    <w:p w:rsidR="00EC74A1" w:rsidRDefault="00EC74A1" w:rsidP="00420B58">
      <w:pPr>
        <w:ind w:firstLine="540"/>
        <w:jc w:val="both"/>
      </w:pPr>
      <w:r>
        <w:t xml:space="preserve">С 24 июля ключевая ставка равна </w:t>
      </w:r>
      <w:r w:rsidRPr="00420B58">
        <w:t>8,5%</w:t>
      </w:r>
      <w:r>
        <w:t xml:space="preserve">, что на 100 </w:t>
      </w:r>
      <w:proofErr w:type="spellStart"/>
      <w:r>
        <w:t>б.п</w:t>
      </w:r>
      <w:proofErr w:type="spellEnd"/>
      <w:r>
        <w:t xml:space="preserve">. выше </w:t>
      </w:r>
      <w:r w:rsidRPr="00420B58">
        <w:t>прежнего значения</w:t>
      </w:r>
      <w:r w:rsidR="00420B58" w:rsidRPr="00420B58">
        <w:t xml:space="preserve"> (</w:t>
      </w:r>
      <w:r w:rsidR="00420B58">
        <w:t xml:space="preserve">Следующее заседание запланировано на </w:t>
      </w:r>
      <w:r w:rsidR="00420B58" w:rsidRPr="00420B58">
        <w:t>15 сентября)</w:t>
      </w:r>
      <w:r>
        <w:t xml:space="preserve">. Такое решение регулятор принял на очередном заседании. </w:t>
      </w:r>
    </w:p>
    <w:p w:rsidR="009006F9" w:rsidRPr="009006F9" w:rsidRDefault="00EC74A1" w:rsidP="009006F9">
      <w:pPr>
        <w:ind w:firstLine="540"/>
        <w:jc w:val="both"/>
      </w:pPr>
      <w:r w:rsidRPr="00420B58">
        <w:t>Информация</w:t>
      </w:r>
      <w:r w:rsidR="00420B58">
        <w:t xml:space="preserve"> Банка России от 21.07.2023</w:t>
      </w:r>
    </w:p>
    <w:p w:rsidR="009006F9" w:rsidRDefault="009006F9" w:rsidP="009006F9">
      <w:pPr>
        <w:spacing w:before="240" w:after="0"/>
        <w:ind w:firstLine="540"/>
        <w:jc w:val="center"/>
      </w:pPr>
      <w:r>
        <w:rPr>
          <w:b/>
          <w:bCs/>
        </w:rPr>
        <w:t>Взносы на травматизм: СФР обновил формы документов по проверкам страхователей (28.07.2023)</w:t>
      </w:r>
    </w:p>
    <w:p w:rsidR="009006F9" w:rsidRDefault="009006F9" w:rsidP="009006F9">
      <w:pPr>
        <w:ind w:firstLine="540"/>
        <w:jc w:val="both"/>
      </w:pPr>
      <w:r>
        <w:t xml:space="preserve">С 5 августа 2023 года действуют </w:t>
      </w:r>
      <w:r w:rsidRPr="009006F9">
        <w:t>новые формы документов</w:t>
      </w:r>
      <w:r>
        <w:t xml:space="preserve"> для проверок сведений и документов страхователя, в том числе по финансированию мер по предупреждению травматизма, а также для проверок уплаты взносов на травматизм</w:t>
      </w:r>
      <w:r>
        <w:t xml:space="preserve"> (П</w:t>
      </w:r>
      <w:r w:rsidRPr="009006F9">
        <w:t>риказ</w:t>
      </w:r>
      <w:r>
        <w:t xml:space="preserve"> СФР от 31.05.2023 N 933</w:t>
      </w:r>
      <w:r>
        <w:t>)</w:t>
      </w:r>
      <w:r>
        <w:t>. Ре</w:t>
      </w:r>
      <w:r>
        <w:t>чь идет, в частности, о формах:</w:t>
      </w:r>
    </w:p>
    <w:p w:rsidR="009006F9" w:rsidRDefault="009006F9" w:rsidP="009006F9">
      <w:pPr>
        <w:pStyle w:val="a5"/>
        <w:numPr>
          <w:ilvl w:val="0"/>
          <w:numId w:val="9"/>
        </w:numPr>
        <w:ind w:left="567" w:hanging="141"/>
        <w:jc w:val="both"/>
      </w:pPr>
      <w:r>
        <w:t>решений о проведении выездной проверки, е</w:t>
      </w:r>
      <w:r>
        <w:t>е приостановке и возобновлении;</w:t>
      </w:r>
    </w:p>
    <w:p w:rsidR="009006F9" w:rsidRDefault="009006F9" w:rsidP="009006F9">
      <w:pPr>
        <w:pStyle w:val="a5"/>
        <w:numPr>
          <w:ilvl w:val="0"/>
          <w:numId w:val="9"/>
        </w:numPr>
        <w:ind w:left="567" w:hanging="141"/>
        <w:jc w:val="both"/>
      </w:pPr>
      <w:r>
        <w:t>актов камеральной и выездной проверок</w:t>
      </w:r>
      <w:r>
        <w:t>;</w:t>
      </w:r>
    </w:p>
    <w:p w:rsidR="009006F9" w:rsidRDefault="009006F9" w:rsidP="009006F9">
      <w:pPr>
        <w:pStyle w:val="a5"/>
        <w:numPr>
          <w:ilvl w:val="0"/>
          <w:numId w:val="9"/>
        </w:numPr>
        <w:ind w:left="567" w:hanging="141"/>
        <w:jc w:val="both"/>
      </w:pPr>
      <w:r>
        <w:t xml:space="preserve">решений и требований </w:t>
      </w:r>
      <w:r>
        <w:t>о возмещении излишних расходов;</w:t>
      </w:r>
    </w:p>
    <w:p w:rsidR="009006F9" w:rsidRDefault="009006F9" w:rsidP="009006F9">
      <w:pPr>
        <w:pStyle w:val="a5"/>
        <w:numPr>
          <w:ilvl w:val="0"/>
          <w:numId w:val="9"/>
        </w:numPr>
        <w:ind w:left="567" w:hanging="141"/>
        <w:jc w:val="both"/>
      </w:pPr>
      <w:r>
        <w:t>решений о</w:t>
      </w:r>
      <w:r>
        <w:t xml:space="preserve"> привлечении к ответственности.</w:t>
      </w:r>
    </w:p>
    <w:p w:rsidR="009006F9" w:rsidRDefault="009006F9" w:rsidP="009006F9">
      <w:pPr>
        <w:spacing w:before="240" w:after="0"/>
        <w:ind w:firstLine="540"/>
        <w:jc w:val="center"/>
      </w:pPr>
      <w:bookmarkStart w:id="0" w:name="_GoBack"/>
      <w:bookmarkEnd w:id="0"/>
      <w:r>
        <w:rPr>
          <w:b/>
          <w:bCs/>
        </w:rPr>
        <w:t>Скидка к тарифу взносов на травматизм на 2024 год: страхователи могут подать за</w:t>
      </w:r>
      <w:r>
        <w:rPr>
          <w:b/>
          <w:bCs/>
        </w:rPr>
        <w:t>явление с 5 августа</w:t>
      </w:r>
    </w:p>
    <w:p w:rsidR="009006F9" w:rsidRDefault="009006F9" w:rsidP="009006F9">
      <w:pPr>
        <w:ind w:firstLine="540"/>
        <w:jc w:val="both"/>
      </w:pPr>
      <w:r>
        <w:t xml:space="preserve">Чтобы рассчитать скидки и надбавки к тарифу взносов на травматизм, используют основные показатели по видам экономической деятельности. СФР </w:t>
      </w:r>
      <w:r w:rsidRPr="009006F9">
        <w:t>утвердил</w:t>
      </w:r>
      <w:r>
        <w:t xml:space="preserve"> такие данные для следующего года. Документ вступает в силу 5 августа 2023 года. С этого момента страхователи могут обращаться в фонд с </w:t>
      </w:r>
      <w:r w:rsidRPr="009006F9">
        <w:t>заявлением</w:t>
      </w:r>
      <w:r>
        <w:t xml:space="preserve"> о скидке. З</w:t>
      </w:r>
      <w:r>
        <w:t xml:space="preserve">апросить скидку можно </w:t>
      </w:r>
      <w:r w:rsidRPr="009006F9">
        <w:t>не позднее 1 ноября 2023 года</w:t>
      </w:r>
      <w:r>
        <w:t>.</w:t>
      </w:r>
    </w:p>
    <w:p w:rsidR="009367E9" w:rsidRDefault="009367E9" w:rsidP="003923BE">
      <w:pPr>
        <w:spacing w:before="240" w:after="0"/>
        <w:ind w:firstLine="540"/>
        <w:jc w:val="center"/>
      </w:pPr>
      <w:r>
        <w:rPr>
          <w:b/>
          <w:bCs/>
        </w:rPr>
        <w:t xml:space="preserve">Поправки к основным направлениям налоговой политики </w:t>
      </w:r>
      <w:r w:rsidR="0064682B">
        <w:rPr>
          <w:b/>
          <w:bCs/>
        </w:rPr>
        <w:t>приняли в окончательном чтении</w:t>
      </w:r>
    </w:p>
    <w:p w:rsidR="009367E9" w:rsidRDefault="009367E9" w:rsidP="0064682B">
      <w:pPr>
        <w:ind w:firstLine="540"/>
        <w:jc w:val="both"/>
      </w:pPr>
      <w:r>
        <w:t xml:space="preserve">Депутаты утвердили поправки к </w:t>
      </w:r>
      <w:r w:rsidRPr="0064682B">
        <w:t>НК</w:t>
      </w:r>
      <w:r>
        <w:t xml:space="preserve"> РФ. </w:t>
      </w:r>
      <w:r w:rsidRPr="0064682B">
        <w:t>Изменения</w:t>
      </w:r>
      <w:r>
        <w:t xml:space="preserve"> затронут порядок учета организаций и физлиц, урегулирования налоговых споров и другие моменты. Часть поправок касается единого налогового платежа и совокупной обязанности. Скорректи</w:t>
      </w:r>
      <w:r w:rsidR="0064682B">
        <w:t>руют и правила налогообложения</w:t>
      </w:r>
      <w:r w:rsidR="0064682B" w:rsidRPr="0064682B">
        <w:t xml:space="preserve"> (</w:t>
      </w:r>
      <w:r w:rsidR="0064682B">
        <w:t>Проект Федерального закона N 369931-8 (</w:t>
      </w:r>
      <w:r w:rsidR="0064682B" w:rsidRPr="0064682B">
        <w:t>https://sozd.duma.gov.ru/bill/369931-8</w:t>
      </w:r>
      <w:r w:rsidR="0064682B">
        <w:t>)</w:t>
      </w:r>
      <w:r w:rsidR="0064682B" w:rsidRPr="0064682B">
        <w:t>)</w:t>
      </w:r>
      <w:r w:rsidR="0064682B">
        <w:t>.</w:t>
      </w:r>
    </w:p>
    <w:p w:rsidR="009367E9" w:rsidRDefault="009367E9" w:rsidP="009367E9">
      <w:pPr>
        <w:ind w:firstLine="540"/>
        <w:jc w:val="both"/>
      </w:pPr>
      <w:r>
        <w:t xml:space="preserve">По сравнению с </w:t>
      </w:r>
      <w:r w:rsidRPr="0064682B">
        <w:t>внесенным проектом</w:t>
      </w:r>
      <w:r>
        <w:t xml:space="preserve"> есть уточнения и доп</w:t>
      </w:r>
      <w:r w:rsidR="0064682B">
        <w:t>олнения. Среди них:</w:t>
      </w:r>
    </w:p>
    <w:p w:rsidR="009367E9" w:rsidRDefault="009367E9" w:rsidP="0064682B">
      <w:pPr>
        <w:pStyle w:val="a5"/>
        <w:numPr>
          <w:ilvl w:val="0"/>
          <w:numId w:val="6"/>
        </w:numPr>
        <w:ind w:left="709" w:hanging="142"/>
        <w:jc w:val="both"/>
      </w:pPr>
      <w:r>
        <w:t xml:space="preserve">если налоговики установят несоответствие показателей декларации контрольным соотношениям, декларации учтут при определении размера совокупной обязанности. Сделают это со дня вступления в силу решения по камеральной проверке либо в течение 10 дней после ее </w:t>
      </w:r>
      <w:r w:rsidRPr="0064682B">
        <w:t>окончания</w:t>
      </w:r>
      <w:r>
        <w:t>. Учесть декларации смогут и ранее, если при проверке не выявят нарушени</w:t>
      </w:r>
      <w:r w:rsidR="0064682B">
        <w:t>й (</w:t>
      </w:r>
      <w:proofErr w:type="spellStart"/>
      <w:r w:rsidR="0064682B">
        <w:t>пп</w:t>
      </w:r>
      <w:proofErr w:type="spellEnd"/>
      <w:r w:rsidR="0064682B">
        <w:t>. "б" п. 4 ст. 1 проекта);</w:t>
      </w:r>
    </w:p>
    <w:p w:rsidR="009367E9" w:rsidRDefault="009367E9" w:rsidP="0064682B">
      <w:pPr>
        <w:pStyle w:val="a5"/>
        <w:numPr>
          <w:ilvl w:val="0"/>
          <w:numId w:val="6"/>
        </w:numPr>
        <w:ind w:left="709" w:hanging="142"/>
        <w:jc w:val="both"/>
      </w:pPr>
      <w:r>
        <w:lastRenderedPageBreak/>
        <w:t xml:space="preserve">налогоплательщики смогут подать </w:t>
      </w:r>
      <w:r w:rsidRPr="0064682B">
        <w:t>уведомление об исчисленных налогах</w:t>
      </w:r>
      <w:r>
        <w:t xml:space="preserve"> с суммой аванса к уменьшению</w:t>
      </w:r>
      <w:r w:rsidR="0064682B">
        <w:t xml:space="preserve"> (</w:t>
      </w:r>
      <w:proofErr w:type="spellStart"/>
      <w:r w:rsidR="0064682B">
        <w:t>пп</w:t>
      </w:r>
      <w:proofErr w:type="spellEnd"/>
      <w:r w:rsidR="0064682B">
        <w:t>. "б" п. 18 ст. 1 проекта);</w:t>
      </w:r>
    </w:p>
    <w:p w:rsidR="009367E9" w:rsidRDefault="009367E9" w:rsidP="0064682B">
      <w:pPr>
        <w:pStyle w:val="a5"/>
        <w:numPr>
          <w:ilvl w:val="0"/>
          <w:numId w:val="6"/>
        </w:numPr>
        <w:ind w:left="709" w:hanging="142"/>
        <w:jc w:val="both"/>
      </w:pPr>
      <w:r>
        <w:t>в ряде случаев уведомление будет считаться непредставленным полностью либо в части</w:t>
      </w:r>
      <w:r w:rsidR="0064682B">
        <w:t xml:space="preserve"> (</w:t>
      </w:r>
      <w:proofErr w:type="spellStart"/>
      <w:r w:rsidR="0064682B">
        <w:t>пп</w:t>
      </w:r>
      <w:proofErr w:type="spellEnd"/>
      <w:r w:rsidR="0064682B">
        <w:t>. "б" п. 18 ст. 1 проекта);</w:t>
      </w:r>
    </w:p>
    <w:p w:rsidR="009367E9" w:rsidRDefault="009367E9" w:rsidP="0064682B">
      <w:pPr>
        <w:pStyle w:val="a5"/>
        <w:numPr>
          <w:ilvl w:val="0"/>
          <w:numId w:val="6"/>
        </w:numPr>
        <w:ind w:left="709" w:hanging="142"/>
        <w:jc w:val="both"/>
      </w:pPr>
      <w:r>
        <w:t>реализацию туроператором продукта в сфере внутреннего и въездного туризма освободят от НДС (</w:t>
      </w:r>
      <w:proofErr w:type="spellStart"/>
      <w:r>
        <w:t>пп</w:t>
      </w:r>
      <w:proofErr w:type="spellEnd"/>
      <w:r>
        <w:t xml:space="preserve">. "д" п. 2 ст. 2 проекта). Ранее эту поправку </w:t>
      </w:r>
      <w:r w:rsidRPr="0064682B">
        <w:t>хотели ввести</w:t>
      </w:r>
      <w:r w:rsidR="0064682B">
        <w:t xml:space="preserve"> отдельным законом;</w:t>
      </w:r>
    </w:p>
    <w:p w:rsidR="009367E9" w:rsidRDefault="009367E9" w:rsidP="0064682B">
      <w:pPr>
        <w:pStyle w:val="a5"/>
        <w:numPr>
          <w:ilvl w:val="0"/>
          <w:numId w:val="6"/>
        </w:numPr>
        <w:ind w:left="709" w:hanging="142"/>
        <w:jc w:val="both"/>
      </w:pPr>
      <w:r>
        <w:t xml:space="preserve">в счете-фактуре нужно будет отражать стоимость товара, подлежащего </w:t>
      </w:r>
      <w:proofErr w:type="spellStart"/>
      <w:r>
        <w:t>прослеживаемости</w:t>
      </w:r>
      <w:proofErr w:type="spellEnd"/>
      <w:r>
        <w:t xml:space="preserve"> (</w:t>
      </w:r>
      <w:proofErr w:type="spellStart"/>
      <w:r>
        <w:t>пп</w:t>
      </w:r>
      <w:proofErr w:type="spellEnd"/>
      <w:r>
        <w:t>. "в" и "г" п. 8 с</w:t>
      </w:r>
      <w:r w:rsidR="0064682B">
        <w:t>т. 2 проекта).</w:t>
      </w:r>
    </w:p>
    <w:p w:rsidR="002C292F" w:rsidRDefault="002C292F" w:rsidP="0064682B">
      <w:pPr>
        <w:spacing w:before="240" w:after="0"/>
        <w:ind w:firstLine="540"/>
        <w:jc w:val="center"/>
      </w:pPr>
      <w:r>
        <w:rPr>
          <w:b/>
          <w:bCs/>
        </w:rPr>
        <w:t>Уведомление об исчисленных суммах: ФНС указала, как отразить аванс</w:t>
      </w:r>
      <w:r w:rsidR="0064682B">
        <w:rPr>
          <w:b/>
          <w:bCs/>
        </w:rPr>
        <w:t>овый платеж по УСН к уменьшению</w:t>
      </w:r>
    </w:p>
    <w:p w:rsidR="002C292F" w:rsidRPr="0064682B" w:rsidRDefault="002C292F" w:rsidP="0064682B">
      <w:pPr>
        <w:ind w:firstLine="540"/>
        <w:jc w:val="both"/>
      </w:pPr>
      <w:r>
        <w:t xml:space="preserve">Если по итогам отчетного периода совокупная обязанность по УСН подлежит учету на едином налоговом счете в меньшем размере, то в </w:t>
      </w:r>
      <w:r w:rsidRPr="0064682B">
        <w:t>строке 4</w:t>
      </w:r>
      <w:r>
        <w:t xml:space="preserve"> уведомления для КБК по налогу </w:t>
      </w:r>
      <w:r w:rsidRPr="0064682B">
        <w:t>указывают</w:t>
      </w:r>
      <w:r>
        <w:t xml:space="preserve"> суммы в виде отрицательного значения. Они не должны превышать исчисленные суммы платежей за предыдущие отчетн</w:t>
      </w:r>
      <w:r w:rsidR="0064682B">
        <w:t>ые периоды</w:t>
      </w:r>
      <w:r w:rsidR="0064682B" w:rsidRPr="0064682B">
        <w:t xml:space="preserve"> (</w:t>
      </w:r>
      <w:r w:rsidRPr="0064682B">
        <w:t>Письмо</w:t>
      </w:r>
      <w:r>
        <w:t xml:space="preserve"> ФНС Росс</w:t>
      </w:r>
      <w:r w:rsidR="0064682B">
        <w:t>ии от 10.07.2023 N СД-4-3/8716@</w:t>
      </w:r>
      <w:r w:rsidR="0064682B" w:rsidRPr="0064682B">
        <w:t>)</w:t>
      </w:r>
      <w:r w:rsidR="0064682B">
        <w:t>.</w:t>
      </w:r>
    </w:p>
    <w:p w:rsidR="002C292F" w:rsidRPr="00C229B3" w:rsidRDefault="002C292F" w:rsidP="0064682B">
      <w:pPr>
        <w:spacing w:before="240" w:after="0"/>
        <w:ind w:firstLine="539"/>
        <w:jc w:val="center"/>
        <w:rPr>
          <w:rFonts w:cstheme="minorHAnsi"/>
          <w:b/>
        </w:rPr>
      </w:pPr>
      <w:r w:rsidRPr="00C229B3">
        <w:rPr>
          <w:rFonts w:cstheme="minorHAnsi"/>
          <w:b/>
        </w:rPr>
        <w:t>Суд: отчетность принимали без учета уведомления о смене объекта по УСН — доначисления незаконны</w:t>
      </w:r>
    </w:p>
    <w:p w:rsidR="002C292F" w:rsidRPr="00C229B3" w:rsidRDefault="002C292F" w:rsidP="002C292F">
      <w:pPr>
        <w:ind w:firstLine="539"/>
        <w:jc w:val="both"/>
        <w:rPr>
          <w:rFonts w:eastAsia="Times New Roman" w:cstheme="minorHAnsi"/>
          <w:lang w:eastAsia="ru-RU"/>
        </w:rPr>
      </w:pPr>
      <w:r w:rsidRPr="00C229B3">
        <w:rPr>
          <w:rFonts w:eastAsia="Times New Roman" w:cstheme="minorHAnsi"/>
          <w:lang w:eastAsia="ru-RU"/>
        </w:rPr>
        <w:t>Организация на УСН решила сменить объект и с 2018 года применять "доходы", о чем вовремя уведомила инспекцию. Однако и в 2018 году, и в последующие годы фактически объект компания не сменила: она подавала отчетность и платила налог как на УСН с объектом "доходы минус расходы". Возражений от налоговиков не было.</w:t>
      </w:r>
    </w:p>
    <w:p w:rsidR="002C292F" w:rsidRPr="00C229B3" w:rsidRDefault="002C292F" w:rsidP="002C292F">
      <w:pPr>
        <w:ind w:firstLine="539"/>
        <w:jc w:val="both"/>
        <w:rPr>
          <w:rFonts w:eastAsia="Times New Roman" w:cstheme="minorHAnsi"/>
          <w:lang w:eastAsia="ru-RU"/>
        </w:rPr>
      </w:pPr>
      <w:r w:rsidRPr="00C229B3">
        <w:rPr>
          <w:rFonts w:eastAsia="Times New Roman" w:cstheme="minorHAnsi"/>
          <w:lang w:eastAsia="ru-RU"/>
        </w:rPr>
        <w:t xml:space="preserve">Лишь по итогам камеральной проверки декларации за 2020 год инспекция </w:t>
      </w:r>
      <w:proofErr w:type="spellStart"/>
      <w:r w:rsidRPr="00C229B3">
        <w:rPr>
          <w:rFonts w:eastAsia="Times New Roman" w:cstheme="minorHAnsi"/>
          <w:lang w:eastAsia="ru-RU"/>
        </w:rPr>
        <w:t>доначислила</w:t>
      </w:r>
      <w:proofErr w:type="spellEnd"/>
      <w:r w:rsidRPr="00C229B3">
        <w:rPr>
          <w:rFonts w:eastAsia="Times New Roman" w:cstheme="minorHAnsi"/>
          <w:lang w:eastAsia="ru-RU"/>
        </w:rPr>
        <w:t xml:space="preserve"> налог с учетом перехода на объект "доходы", сославшись на уведомление. Суд посчитал доначисления незаконными.</w:t>
      </w:r>
    </w:p>
    <w:p w:rsidR="004248FA" w:rsidRPr="00C229B3" w:rsidRDefault="00C229B3" w:rsidP="0064682B">
      <w:pPr>
        <w:spacing w:before="240" w:after="0"/>
        <w:ind w:firstLine="539"/>
        <w:jc w:val="center"/>
        <w:rPr>
          <w:rFonts w:cstheme="minorHAnsi"/>
          <w:b/>
        </w:rPr>
      </w:pPr>
      <w:r w:rsidRPr="00C229B3">
        <w:rPr>
          <w:rFonts w:cstheme="minorHAnsi"/>
          <w:b/>
        </w:rPr>
        <w:t xml:space="preserve">Единый налоговый платеж: правительство продлило период </w:t>
      </w:r>
      <w:proofErr w:type="spellStart"/>
      <w:r w:rsidRPr="00C229B3">
        <w:rPr>
          <w:rFonts w:cstheme="minorHAnsi"/>
          <w:b/>
        </w:rPr>
        <w:t>неначисления</w:t>
      </w:r>
      <w:proofErr w:type="spellEnd"/>
      <w:r w:rsidRPr="00C229B3">
        <w:rPr>
          <w:rFonts w:cstheme="minorHAnsi"/>
          <w:b/>
        </w:rPr>
        <w:t xml:space="preserve"> пеней до конца года</w:t>
      </w:r>
    </w:p>
    <w:p w:rsidR="00C229B3" w:rsidRPr="00C229B3" w:rsidRDefault="0064682B" w:rsidP="00A24C34">
      <w:pPr>
        <w:ind w:firstLine="539"/>
        <w:jc w:val="both"/>
        <w:rPr>
          <w:rFonts w:cstheme="minorHAnsi"/>
        </w:rPr>
      </w:pPr>
      <w:r>
        <w:rPr>
          <w:rFonts w:cstheme="minorHAnsi"/>
        </w:rPr>
        <w:t xml:space="preserve">Особый режим теперь действует </w:t>
      </w:r>
      <w:r w:rsidR="00C229B3" w:rsidRPr="00C229B3">
        <w:rPr>
          <w:rFonts w:cstheme="minorHAnsi"/>
        </w:rPr>
        <w:t>не по 30 июня, а по 31 декабря 2023 года. В этот период за ошибки в уведомлении об исчисленных налогах не начисляют пени, если на ЕНС достаточно средств.</w:t>
      </w:r>
    </w:p>
    <w:p w:rsidR="00C229B3" w:rsidRPr="00C229B3" w:rsidRDefault="00C229B3" w:rsidP="0064682B">
      <w:pPr>
        <w:spacing w:before="240" w:after="0"/>
        <w:ind w:firstLine="539"/>
        <w:jc w:val="center"/>
        <w:rPr>
          <w:rFonts w:cstheme="minorHAnsi"/>
          <w:b/>
        </w:rPr>
      </w:pPr>
      <w:r w:rsidRPr="00C229B3">
        <w:rPr>
          <w:rFonts w:cstheme="minorHAnsi"/>
          <w:b/>
        </w:rPr>
        <w:t>Проверки ККТ: Минфин обновил перечень подозрительных операций</w:t>
      </w:r>
    </w:p>
    <w:p w:rsidR="00C229B3" w:rsidRPr="00C229B3" w:rsidRDefault="00C229B3" w:rsidP="00A24C34">
      <w:pPr>
        <w:ind w:firstLine="539"/>
        <w:jc w:val="both"/>
        <w:rPr>
          <w:rFonts w:eastAsia="Times New Roman" w:cstheme="minorHAnsi"/>
          <w:lang w:eastAsia="ru-RU"/>
        </w:rPr>
      </w:pPr>
      <w:r w:rsidRPr="00C229B3">
        <w:rPr>
          <w:rFonts w:eastAsia="Times New Roman" w:cstheme="minorHAnsi"/>
          <w:lang w:eastAsia="ru-RU"/>
        </w:rPr>
        <w:t>С 17 июля действует новый перечень индикаторов риска нарушений обязательных требований по контролю за ККТ, в том числе за полнотой учета выручки. Теперь в нем 3 пункта:</w:t>
      </w:r>
    </w:p>
    <w:p w:rsidR="00C229B3" w:rsidRPr="00C229B3" w:rsidRDefault="00C229B3" w:rsidP="0064682B">
      <w:pPr>
        <w:numPr>
          <w:ilvl w:val="0"/>
          <w:numId w:val="1"/>
        </w:numPr>
        <w:tabs>
          <w:tab w:val="clear" w:pos="720"/>
          <w:tab w:val="num" w:pos="426"/>
        </w:tabs>
        <w:ind w:left="567" w:hanging="141"/>
        <w:jc w:val="both"/>
        <w:rPr>
          <w:rFonts w:eastAsia="Times New Roman" w:cstheme="minorHAnsi"/>
          <w:lang w:eastAsia="ru-RU"/>
        </w:rPr>
      </w:pPr>
      <w:r w:rsidRPr="00C229B3">
        <w:rPr>
          <w:rFonts w:eastAsia="Times New Roman" w:cstheme="minorHAnsi"/>
          <w:lang w:eastAsia="ru-RU"/>
        </w:rPr>
        <w:t>за 60 календарных дней нет фискальных документов в АИС налоговиков, а касса зарегистрирована. Отметим, что этот признак установлен и сейчас, но по действующей редакции он единственный;</w:t>
      </w:r>
    </w:p>
    <w:p w:rsidR="00C229B3" w:rsidRPr="00C229B3" w:rsidRDefault="00C229B3" w:rsidP="0064682B">
      <w:pPr>
        <w:numPr>
          <w:ilvl w:val="0"/>
          <w:numId w:val="1"/>
        </w:numPr>
        <w:tabs>
          <w:tab w:val="clear" w:pos="720"/>
          <w:tab w:val="num" w:pos="426"/>
        </w:tabs>
        <w:ind w:left="567" w:hanging="141"/>
        <w:jc w:val="both"/>
        <w:rPr>
          <w:rFonts w:eastAsia="Times New Roman" w:cstheme="minorHAnsi"/>
          <w:lang w:eastAsia="ru-RU"/>
        </w:rPr>
      </w:pPr>
      <w:r w:rsidRPr="00C229B3">
        <w:rPr>
          <w:rFonts w:eastAsia="Times New Roman" w:cstheme="minorHAnsi"/>
          <w:lang w:eastAsia="ru-RU"/>
        </w:rPr>
        <w:t>за 30 календарных дней доля фискальных документов с признаком расчета "Возврат прихода" — 30% и более от общего числа документов с признаком "Приход". Правило не применяют к ломбардам;</w:t>
      </w:r>
    </w:p>
    <w:p w:rsidR="00C229B3" w:rsidRPr="00C229B3" w:rsidRDefault="00C229B3" w:rsidP="0064682B">
      <w:pPr>
        <w:numPr>
          <w:ilvl w:val="0"/>
          <w:numId w:val="1"/>
        </w:numPr>
        <w:tabs>
          <w:tab w:val="clear" w:pos="720"/>
          <w:tab w:val="num" w:pos="426"/>
        </w:tabs>
        <w:ind w:left="567" w:hanging="141"/>
        <w:jc w:val="both"/>
        <w:rPr>
          <w:rFonts w:eastAsia="Times New Roman" w:cstheme="minorHAnsi"/>
          <w:lang w:eastAsia="ru-RU"/>
        </w:rPr>
      </w:pPr>
      <w:r w:rsidRPr="00C229B3">
        <w:rPr>
          <w:rFonts w:eastAsia="Times New Roman" w:cstheme="minorHAnsi"/>
          <w:lang w:eastAsia="ru-RU"/>
        </w:rPr>
        <w:t>за 30 календарных дней чеков коррекции (БСО коррекции) — 30% и более от общего числа фискальных документов.</w:t>
      </w:r>
    </w:p>
    <w:p w:rsidR="002C292F" w:rsidRDefault="002C292F" w:rsidP="0064682B">
      <w:pPr>
        <w:spacing w:before="240" w:after="0"/>
        <w:ind w:firstLine="540"/>
        <w:jc w:val="center"/>
      </w:pPr>
      <w:r>
        <w:rPr>
          <w:b/>
          <w:bCs/>
        </w:rPr>
        <w:t>Налог на сверхприбыль: Госдума при</w:t>
      </w:r>
      <w:r w:rsidR="0064682B">
        <w:rPr>
          <w:b/>
          <w:bCs/>
        </w:rPr>
        <w:t>няла поправки во втором чтении</w:t>
      </w:r>
    </w:p>
    <w:p w:rsidR="002C292F" w:rsidRDefault="002C292F" w:rsidP="002C292F">
      <w:pPr>
        <w:ind w:firstLine="540"/>
        <w:jc w:val="both"/>
      </w:pPr>
      <w:r>
        <w:t xml:space="preserve">Уточнили, что к числу плательщиков налога на сверхприбыль </w:t>
      </w:r>
      <w:r w:rsidRPr="0064682B">
        <w:t>не относятся</w:t>
      </w:r>
      <w:r w:rsidR="0064682B">
        <w:t>:</w:t>
      </w:r>
    </w:p>
    <w:p w:rsidR="002C292F" w:rsidRDefault="002C292F" w:rsidP="0064682B">
      <w:pPr>
        <w:pStyle w:val="a5"/>
        <w:numPr>
          <w:ilvl w:val="0"/>
          <w:numId w:val="7"/>
        </w:numPr>
        <w:ind w:left="709" w:hanging="142"/>
        <w:jc w:val="both"/>
      </w:pPr>
      <w:r>
        <w:t>компании, у которых не было доходов от реализации за 2018 и 2019 г</w:t>
      </w:r>
      <w:r w:rsidR="0064682B">
        <w:t>оды (п. 12 ч. 4 ст. 2 проекта);</w:t>
      </w:r>
    </w:p>
    <w:p w:rsidR="002C292F" w:rsidRDefault="002C292F" w:rsidP="0064682B">
      <w:pPr>
        <w:pStyle w:val="a5"/>
        <w:numPr>
          <w:ilvl w:val="0"/>
          <w:numId w:val="7"/>
        </w:numPr>
        <w:ind w:left="709" w:hanging="142"/>
        <w:jc w:val="both"/>
      </w:pPr>
      <w:r>
        <w:lastRenderedPageBreak/>
        <w:t xml:space="preserve">кредитные организации и </w:t>
      </w:r>
      <w:proofErr w:type="spellStart"/>
      <w:r>
        <w:t>некредитные</w:t>
      </w:r>
      <w:proofErr w:type="spellEnd"/>
      <w:r>
        <w:t xml:space="preserve"> финансовые организации, к которым на 1 января 2023 года применяли меры по предупреждению банкротства. В принятии данных мер должны были участвовать ЦБ РФ или "Агентство по страхованию вклад</w:t>
      </w:r>
      <w:r w:rsidR="0064682B">
        <w:t>ов" (п. 13 ч. 4 ст. 2 проекта);</w:t>
      </w:r>
    </w:p>
    <w:p w:rsidR="002C292F" w:rsidRDefault="002C292F" w:rsidP="0064682B">
      <w:pPr>
        <w:pStyle w:val="a5"/>
        <w:numPr>
          <w:ilvl w:val="0"/>
          <w:numId w:val="7"/>
        </w:numPr>
        <w:ind w:left="709" w:hanging="142"/>
        <w:jc w:val="both"/>
      </w:pPr>
      <w:r>
        <w:t xml:space="preserve">организации-застройщики, которые реализуют проекты с привлечением средств граждан через </w:t>
      </w:r>
      <w:proofErr w:type="spellStart"/>
      <w:r>
        <w:t>эскроу</w:t>
      </w:r>
      <w:proofErr w:type="spellEnd"/>
      <w:r>
        <w:t xml:space="preserve">-счета по </w:t>
      </w:r>
      <w:r w:rsidRPr="0064682B">
        <w:t>Закону о долевом строительстве</w:t>
      </w:r>
      <w:r>
        <w:t>. Такие застройщики не должны были выплачивать в 2021 и 2022 годах дивиде</w:t>
      </w:r>
      <w:r w:rsidR="0064682B">
        <w:t>нды (п. 14 ч. 4 ст. 2 проекта).</w:t>
      </w:r>
    </w:p>
    <w:p w:rsidR="002C292F" w:rsidRDefault="002C292F" w:rsidP="002C292F">
      <w:pPr>
        <w:ind w:firstLine="540"/>
        <w:jc w:val="both"/>
      </w:pPr>
      <w:r>
        <w:t>Есть и иные поправ</w:t>
      </w:r>
      <w:r w:rsidR="0064682B">
        <w:t>ки. Предусмотрены, в частности:</w:t>
      </w:r>
    </w:p>
    <w:p w:rsidR="002C292F" w:rsidRDefault="002C292F" w:rsidP="0064682B">
      <w:pPr>
        <w:pStyle w:val="a5"/>
        <w:numPr>
          <w:ilvl w:val="0"/>
          <w:numId w:val="8"/>
        </w:numPr>
        <w:ind w:left="709" w:hanging="142"/>
        <w:jc w:val="both"/>
      </w:pPr>
      <w:r>
        <w:t>особенности расчета средней арифметической величины прибыли для организаций, созданных при преобр</w:t>
      </w:r>
      <w:r w:rsidR="0064682B">
        <w:t>азовании (ч. 10 ст. 3 проекта);</w:t>
      </w:r>
    </w:p>
    <w:p w:rsidR="002C292F" w:rsidRDefault="002C292F" w:rsidP="0064682B">
      <w:pPr>
        <w:pStyle w:val="a5"/>
        <w:numPr>
          <w:ilvl w:val="0"/>
          <w:numId w:val="8"/>
        </w:numPr>
        <w:ind w:left="709" w:hanging="142"/>
        <w:jc w:val="both"/>
      </w:pPr>
      <w:r>
        <w:t xml:space="preserve">особый порядок расчета налога для компаний, у которых налоговая база превысит прибыль за 2022 год (ч. 6 ст. 4 проекта). Если у таких организаций прибыль за 2021 год в 2 раза и более превышает прибыль за 2022 </w:t>
      </w:r>
      <w:proofErr w:type="gramStart"/>
      <w:r>
        <w:t>год</w:t>
      </w:r>
      <w:proofErr w:type="gramEnd"/>
      <w:r>
        <w:t xml:space="preserve"> и они в 2021 и 2022 годах не выплачивали дивиденды, то налоговую базу призна</w:t>
      </w:r>
      <w:r w:rsidR="0064682B">
        <w:t>ют равной прибыли за 2022 год (</w:t>
      </w:r>
      <w:r>
        <w:t>Проект Федерального закона N 379248-8 (</w:t>
      </w:r>
      <w:r w:rsidRPr="0064682B">
        <w:t>https://sozd.duma.gov.ru/bill/379248-8</w:t>
      </w:r>
      <w:r w:rsidR="0064682B">
        <w:t>)).</w:t>
      </w:r>
    </w:p>
    <w:p w:rsidR="00C229B3" w:rsidRDefault="00887402" w:rsidP="0064682B">
      <w:pPr>
        <w:spacing w:before="240" w:after="0"/>
        <w:jc w:val="center"/>
        <w:rPr>
          <w:b/>
        </w:rPr>
      </w:pPr>
      <w:r w:rsidRPr="00887402">
        <w:rPr>
          <w:b/>
        </w:rPr>
        <w:t>Медицинские закупки с указанием товарного знака: разработан порядок формирования перечня продукции</w:t>
      </w:r>
    </w:p>
    <w:p w:rsidR="00887402" w:rsidRPr="00D63192" w:rsidRDefault="0088740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 xml:space="preserve">При приобретении </w:t>
      </w:r>
      <w:proofErr w:type="spellStart"/>
      <w:r w:rsidRPr="00D63192">
        <w:rPr>
          <w:rFonts w:asciiTheme="minorHAnsi" w:hAnsiTheme="minorHAnsi" w:cstheme="minorHAnsi"/>
        </w:rPr>
        <w:t>медизделий</w:t>
      </w:r>
      <w:proofErr w:type="spellEnd"/>
      <w:r w:rsidRPr="00D63192">
        <w:rPr>
          <w:rFonts w:asciiTheme="minorHAnsi" w:hAnsiTheme="minorHAnsi" w:cstheme="minorHAnsi"/>
        </w:rPr>
        <w:t xml:space="preserve"> и лечебного питания по решению врачебной комиссии, в описание объекта закупки можно включать товарный знак без эквивалента. Важное условие — продукция есть в специальном перечне. Минздрав предложил порядок его формирования.</w:t>
      </w:r>
    </w:p>
    <w:p w:rsidR="00887402" w:rsidRPr="00D63192" w:rsidRDefault="0088740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 xml:space="preserve">Среди прочего планируют, что организация, которая оказывает помощь пациенту, направит в Минздрав электронное заявление о включении в перечень </w:t>
      </w:r>
      <w:proofErr w:type="spellStart"/>
      <w:r w:rsidRPr="00D63192">
        <w:rPr>
          <w:rFonts w:asciiTheme="minorHAnsi" w:hAnsiTheme="minorHAnsi" w:cstheme="minorHAnsi"/>
        </w:rPr>
        <w:t>медизделия</w:t>
      </w:r>
      <w:proofErr w:type="spellEnd"/>
      <w:r w:rsidRPr="00D63192">
        <w:rPr>
          <w:rFonts w:asciiTheme="minorHAnsi" w:hAnsiTheme="minorHAnsi" w:cstheme="minorHAnsi"/>
        </w:rPr>
        <w:t xml:space="preserve"> и (или) лечебного питания. Его подпишут квалифицированной ЭП.</w:t>
      </w:r>
    </w:p>
    <w:p w:rsidR="00887402" w:rsidRPr="00D63192" w:rsidRDefault="0088740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 xml:space="preserve">Товары для перечня должны будут отвечать критериям, </w:t>
      </w:r>
      <w:proofErr w:type="gramStart"/>
      <w:r w:rsidRPr="00D63192">
        <w:rPr>
          <w:rFonts w:asciiTheme="minorHAnsi" w:hAnsiTheme="minorHAnsi" w:cstheme="minorHAnsi"/>
        </w:rPr>
        <w:t>например</w:t>
      </w:r>
      <w:proofErr w:type="gramEnd"/>
      <w:r w:rsidRPr="00D63192">
        <w:rPr>
          <w:rFonts w:asciiTheme="minorHAnsi" w:hAnsiTheme="minorHAnsi" w:cstheme="minorHAnsi"/>
        </w:rPr>
        <w:t>:</w:t>
      </w:r>
    </w:p>
    <w:p w:rsidR="00887402" w:rsidRDefault="00887402" w:rsidP="0012603E">
      <w:pPr>
        <w:numPr>
          <w:ilvl w:val="0"/>
          <w:numId w:val="2"/>
        </w:numPr>
        <w:spacing w:before="100" w:beforeAutospacing="1" w:after="100" w:afterAutospacing="1"/>
        <w:ind w:hanging="153"/>
        <w:jc w:val="both"/>
      </w:pPr>
      <w:r>
        <w:t xml:space="preserve">по </w:t>
      </w:r>
      <w:proofErr w:type="spellStart"/>
      <w:r>
        <w:t>медизделию</w:t>
      </w:r>
      <w:proofErr w:type="spellEnd"/>
      <w:r>
        <w:t xml:space="preserve"> </w:t>
      </w:r>
      <w:r w:rsidRPr="00887402">
        <w:t>нет</w:t>
      </w:r>
      <w:r>
        <w:t xml:space="preserve"> решения о приостановлении его применения или об изъятии из обращения;</w:t>
      </w:r>
    </w:p>
    <w:p w:rsidR="00887402" w:rsidRDefault="00887402" w:rsidP="0012603E">
      <w:pPr>
        <w:numPr>
          <w:ilvl w:val="0"/>
          <w:numId w:val="2"/>
        </w:numPr>
        <w:spacing w:before="100" w:beforeAutospacing="1" w:after="100" w:afterAutospacing="1"/>
        <w:ind w:hanging="153"/>
        <w:jc w:val="both"/>
      </w:pPr>
      <w:r>
        <w:t xml:space="preserve">питание </w:t>
      </w:r>
      <w:r w:rsidRPr="00887402">
        <w:t>применяют</w:t>
      </w:r>
      <w:r>
        <w:t xml:space="preserve"> для лечения </w:t>
      </w:r>
      <w:proofErr w:type="spellStart"/>
      <w:r>
        <w:t>орфанных</w:t>
      </w:r>
      <w:proofErr w:type="spellEnd"/>
      <w:r>
        <w:t xml:space="preserve"> заболеваний.</w:t>
      </w:r>
    </w:p>
    <w:p w:rsidR="00887402" w:rsidRPr="00D63192" w:rsidRDefault="0088740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 xml:space="preserve">В заявлении среди прочего приведут сведения о регистрации соответствующего товара и о заболевании пациента. К нему приложат копии протокола заключения врачебной комиссии либо консилиума врачей указанной организации с подписью ее руководителя или иного уполномоченного лица. В таком заключении приведут, в частности, сведения о неэффективности применения для конкретного пациента иных </w:t>
      </w:r>
      <w:proofErr w:type="spellStart"/>
      <w:r w:rsidRPr="00D63192">
        <w:rPr>
          <w:rFonts w:asciiTheme="minorHAnsi" w:hAnsiTheme="minorHAnsi" w:cstheme="minorHAnsi"/>
        </w:rPr>
        <w:t>медизделий</w:t>
      </w:r>
      <w:proofErr w:type="spellEnd"/>
      <w:r w:rsidRPr="00D63192">
        <w:rPr>
          <w:rFonts w:asciiTheme="minorHAnsi" w:hAnsiTheme="minorHAnsi" w:cstheme="minorHAnsi"/>
        </w:rPr>
        <w:t xml:space="preserve"> и (или) лечебного питания.</w:t>
      </w:r>
    </w:p>
    <w:p w:rsidR="00887402" w:rsidRPr="00D63192" w:rsidRDefault="0088740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>Информацию о принятом решении разместят на сайте Минздрава. Последнее же проинформирует о нем заявителя. При положительном решении ведомство также сформирует проект нормативного правового акта об утверждении или изменении перечня.</w:t>
      </w:r>
    </w:p>
    <w:p w:rsidR="00887402" w:rsidRPr="00D63192" w:rsidRDefault="00D63192" w:rsidP="00F8129E">
      <w:pPr>
        <w:spacing w:after="0"/>
        <w:jc w:val="center"/>
        <w:rPr>
          <w:rFonts w:cstheme="minorHAnsi"/>
          <w:b/>
          <w:sz w:val="24"/>
          <w:szCs w:val="24"/>
        </w:rPr>
      </w:pPr>
      <w:r w:rsidRPr="00D63192">
        <w:rPr>
          <w:rFonts w:cstheme="minorHAnsi"/>
          <w:b/>
          <w:sz w:val="24"/>
          <w:szCs w:val="24"/>
        </w:rPr>
        <w:t>Банкротство: Минэкономразвития предложило уточнить очередность удовлетворения требований кредиторов</w:t>
      </w:r>
    </w:p>
    <w:p w:rsidR="00D63192" w:rsidRPr="00D63192" w:rsidRDefault="00D6319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lastRenderedPageBreak/>
        <w:t>Обязательные платежи, которые отнесли к текущим, хотят погашать в 5-ю очередь. Исключение — НДФЛ, страховые и профсоюзные взносы. Долги по ним отнесут ко 2-й очереди текущих платежей или реестра (</w:t>
      </w:r>
      <w:proofErr w:type="spellStart"/>
      <w:r w:rsidRPr="00D63192">
        <w:rPr>
          <w:rFonts w:asciiTheme="minorHAnsi" w:hAnsiTheme="minorHAnsi" w:cstheme="minorHAnsi"/>
        </w:rPr>
        <w:t>пп</w:t>
      </w:r>
      <w:proofErr w:type="spellEnd"/>
      <w:r w:rsidRPr="00D63192">
        <w:rPr>
          <w:rFonts w:asciiTheme="minorHAnsi" w:hAnsiTheme="minorHAnsi" w:cstheme="minorHAnsi"/>
        </w:rPr>
        <w:t>. "а" п. п. 1 и 2 проекта).</w:t>
      </w:r>
    </w:p>
    <w:p w:rsidR="00D63192" w:rsidRPr="00D63192" w:rsidRDefault="00D6319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>Требования по этим налогам и взносам планируют удовлетворять последними в порядке, который сейчас действует для 2-й очереди реестра. Порядок дополнят новым пунктом и станут применять как для реестровых требований, так и для текущих платежей. Календарную очередность при этом учитывать не будут (</w:t>
      </w:r>
      <w:proofErr w:type="spellStart"/>
      <w:r w:rsidRPr="00D63192">
        <w:rPr>
          <w:rFonts w:asciiTheme="minorHAnsi" w:hAnsiTheme="minorHAnsi" w:cstheme="minorHAnsi"/>
        </w:rPr>
        <w:t>пп</w:t>
      </w:r>
      <w:proofErr w:type="spellEnd"/>
      <w:r w:rsidRPr="00D63192">
        <w:rPr>
          <w:rFonts w:asciiTheme="minorHAnsi" w:hAnsiTheme="minorHAnsi" w:cstheme="minorHAnsi"/>
        </w:rPr>
        <w:t xml:space="preserve">. "б" п. 1, </w:t>
      </w:r>
      <w:proofErr w:type="spellStart"/>
      <w:r w:rsidRPr="00D63192">
        <w:rPr>
          <w:rFonts w:asciiTheme="minorHAnsi" w:hAnsiTheme="minorHAnsi" w:cstheme="minorHAnsi"/>
        </w:rPr>
        <w:t>пп</w:t>
      </w:r>
      <w:proofErr w:type="spellEnd"/>
      <w:r w:rsidRPr="00D63192">
        <w:rPr>
          <w:rFonts w:asciiTheme="minorHAnsi" w:hAnsiTheme="minorHAnsi" w:cstheme="minorHAnsi"/>
        </w:rPr>
        <w:t>. "а" и "б" п. 2 проекта).</w:t>
      </w:r>
    </w:p>
    <w:p w:rsidR="00D63192" w:rsidRPr="00D63192" w:rsidRDefault="00D6319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>Выплатам в пользу реестровых кредиторов 1-й и 2-й очередей могут дать приоритет. Долги перед ними хотят погашать за счет средств на текущие обязательные платежи в таком порядке (п. 3 проекта):</w:t>
      </w:r>
    </w:p>
    <w:p w:rsidR="00D63192" w:rsidRPr="00D63192" w:rsidRDefault="00D63192" w:rsidP="00F8129E">
      <w:pPr>
        <w:numPr>
          <w:ilvl w:val="0"/>
          <w:numId w:val="3"/>
        </w:numPr>
        <w:spacing w:before="100" w:beforeAutospacing="1" w:after="100" w:afterAutospacing="1"/>
        <w:ind w:left="709" w:hanging="142"/>
        <w:jc w:val="both"/>
        <w:rPr>
          <w:rFonts w:cstheme="minorHAnsi"/>
          <w:sz w:val="24"/>
          <w:szCs w:val="24"/>
        </w:rPr>
      </w:pPr>
      <w:r w:rsidRPr="00D63192">
        <w:rPr>
          <w:rFonts w:cstheme="minorHAnsi"/>
          <w:sz w:val="24"/>
          <w:szCs w:val="24"/>
        </w:rPr>
        <w:t>в 1-ю очередь — требования граждан за причинение вреда жизни и здоровью;</w:t>
      </w:r>
    </w:p>
    <w:p w:rsidR="00D63192" w:rsidRPr="00D63192" w:rsidRDefault="00D63192" w:rsidP="00F8129E">
      <w:pPr>
        <w:numPr>
          <w:ilvl w:val="0"/>
          <w:numId w:val="3"/>
        </w:numPr>
        <w:spacing w:before="100" w:beforeAutospacing="1" w:after="100" w:afterAutospacing="1"/>
        <w:ind w:left="709" w:hanging="142"/>
        <w:jc w:val="both"/>
        <w:rPr>
          <w:rFonts w:cstheme="minorHAnsi"/>
          <w:sz w:val="24"/>
          <w:szCs w:val="24"/>
        </w:rPr>
      </w:pPr>
      <w:r w:rsidRPr="00D63192">
        <w:rPr>
          <w:rFonts w:cstheme="minorHAnsi"/>
          <w:sz w:val="24"/>
          <w:szCs w:val="24"/>
        </w:rPr>
        <w:t>во 2-ю очередь — требования работников и авторов результатов интеллектуальной деятельности, которые отнесли к текущим платежам;</w:t>
      </w:r>
    </w:p>
    <w:p w:rsidR="00D63192" w:rsidRPr="00D63192" w:rsidRDefault="00D63192" w:rsidP="00F8129E">
      <w:pPr>
        <w:numPr>
          <w:ilvl w:val="0"/>
          <w:numId w:val="3"/>
        </w:numPr>
        <w:spacing w:before="100" w:beforeAutospacing="1" w:after="100" w:afterAutospacing="1"/>
        <w:ind w:left="709" w:hanging="142"/>
        <w:jc w:val="both"/>
        <w:rPr>
          <w:rFonts w:cstheme="minorHAnsi"/>
          <w:sz w:val="24"/>
          <w:szCs w:val="24"/>
        </w:rPr>
      </w:pPr>
      <w:r w:rsidRPr="00D63192">
        <w:rPr>
          <w:rFonts w:cstheme="minorHAnsi"/>
          <w:sz w:val="24"/>
          <w:szCs w:val="24"/>
        </w:rPr>
        <w:t>в 3-ю очередь — требования указанных в предыдущем пункте лиц, которые включили в реестр.</w:t>
      </w:r>
    </w:p>
    <w:p w:rsidR="00D63192" w:rsidRPr="00D63192" w:rsidRDefault="00D63192" w:rsidP="00D63192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>Также предложили покрывать за счет средств от продажи заложенного имущества банкрота обязательства по ряду налогов, отнесенные к текущим платежам. Речь идет о земельном, транспортном, а также налогах на имущество организаций и физлиц. Их не включат в 5-ю очередь, а погасят в преимущественном порядке вместе с расходами на сохранение и реализацию предмета залога. Главное условие: заложенное имущество — объект налогообложения (</w:t>
      </w:r>
      <w:proofErr w:type="spellStart"/>
      <w:r w:rsidRPr="00D63192">
        <w:rPr>
          <w:rFonts w:asciiTheme="minorHAnsi" w:hAnsiTheme="minorHAnsi" w:cstheme="minorHAnsi"/>
        </w:rPr>
        <w:t>пп</w:t>
      </w:r>
      <w:proofErr w:type="spellEnd"/>
      <w:r w:rsidRPr="00D63192">
        <w:rPr>
          <w:rFonts w:asciiTheme="minorHAnsi" w:hAnsiTheme="minorHAnsi" w:cstheme="minorHAnsi"/>
        </w:rPr>
        <w:t>. "а" п. 1 и п. 4 проекта).</w:t>
      </w:r>
    </w:p>
    <w:p w:rsidR="00D63192" w:rsidRDefault="00D63192" w:rsidP="00F8129E">
      <w:pPr>
        <w:spacing w:before="240" w:after="0"/>
        <w:jc w:val="center"/>
        <w:rPr>
          <w:b/>
        </w:rPr>
      </w:pPr>
      <w:r w:rsidRPr="00D63192">
        <w:rPr>
          <w:b/>
        </w:rPr>
        <w:t>Минфин: санаторий не может применять нулевую ставку НДС к услугам временного проживания</w:t>
      </w:r>
    </w:p>
    <w:p w:rsidR="00F8129E" w:rsidRDefault="00D63192" w:rsidP="00F8129E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>Если услуги по предоставлению мест для временного проживания оказывают санаторно-курортные организации, применять 0% НДС как гостиница или иное средство размещения нельзя. Правило действует, даже если эти услуги оказывают отдельно от услуг по лечению и питанию.</w:t>
      </w:r>
    </w:p>
    <w:p w:rsidR="00D63192" w:rsidRPr="00F8129E" w:rsidRDefault="00D63192" w:rsidP="00F8129E">
      <w:pPr>
        <w:pStyle w:val="a4"/>
        <w:spacing w:line="259" w:lineRule="auto"/>
        <w:ind w:firstLine="539"/>
        <w:jc w:val="both"/>
        <w:rPr>
          <w:rFonts w:asciiTheme="minorHAnsi" w:hAnsiTheme="minorHAnsi" w:cstheme="minorHAnsi"/>
        </w:rPr>
      </w:pPr>
      <w:r w:rsidRPr="00D63192">
        <w:rPr>
          <w:rFonts w:asciiTheme="minorHAnsi" w:hAnsiTheme="minorHAnsi" w:cstheme="minorHAnsi"/>
        </w:rPr>
        <w:t>Минфин указал, что объекты санаторно-курортного лечения и отдыха относятся к туристской индустрии. Но на них не распространяются требования для гостиниц и иных средств размещения.</w:t>
      </w:r>
    </w:p>
    <w:sectPr w:rsidR="00D63192" w:rsidRPr="00F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D5"/>
    <w:multiLevelType w:val="multilevel"/>
    <w:tmpl w:val="E63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526463"/>
    <w:multiLevelType w:val="hybridMultilevel"/>
    <w:tmpl w:val="FCE6C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881A5A"/>
    <w:multiLevelType w:val="multilevel"/>
    <w:tmpl w:val="624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03C74"/>
    <w:multiLevelType w:val="hybridMultilevel"/>
    <w:tmpl w:val="E804A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15A23CE"/>
    <w:multiLevelType w:val="hybridMultilevel"/>
    <w:tmpl w:val="B8123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25C2D30"/>
    <w:multiLevelType w:val="hybridMultilevel"/>
    <w:tmpl w:val="7FA8C9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67533"/>
    <w:multiLevelType w:val="multilevel"/>
    <w:tmpl w:val="D07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5"/>
    <w:rsid w:val="0012603E"/>
    <w:rsid w:val="002C292F"/>
    <w:rsid w:val="003923BE"/>
    <w:rsid w:val="00420B58"/>
    <w:rsid w:val="004248FA"/>
    <w:rsid w:val="0064682B"/>
    <w:rsid w:val="007D0A95"/>
    <w:rsid w:val="00887402"/>
    <w:rsid w:val="009006F9"/>
    <w:rsid w:val="009367E9"/>
    <w:rsid w:val="00A24C34"/>
    <w:rsid w:val="00C229B3"/>
    <w:rsid w:val="00D63192"/>
    <w:rsid w:val="00EC74A1"/>
    <w:rsid w:val="00F16E92"/>
    <w:rsid w:val="00F674CC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6CCF"/>
  <w15:chartTrackingRefBased/>
  <w15:docId w15:val="{21452101-E7A1-45CF-9549-EFD230F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9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консалтинг</dc:creator>
  <cp:keywords/>
  <dc:description/>
  <cp:lastModifiedBy>Потеряхина Полина Дмитриевна</cp:lastModifiedBy>
  <cp:revision>15</cp:revision>
  <dcterms:created xsi:type="dcterms:W3CDTF">2023-07-10T07:41:00Z</dcterms:created>
  <dcterms:modified xsi:type="dcterms:W3CDTF">2023-08-01T06:22:00Z</dcterms:modified>
</cp:coreProperties>
</file>