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2"/>
        <w:tblW w:w="99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35"/>
        <w:gridCol w:w="4927"/>
      </w:tblGrid>
      <w:tr w:rsidR="00445554" w:rsidTr="00C30AAA">
        <w:trPr>
          <w:trHeight w:val="2153"/>
        </w:trPr>
        <w:tc>
          <w:tcPr>
            <w:tcW w:w="5035" w:type="dxa"/>
            <w:tcBorders>
              <w:top w:val="single" w:sz="4" w:space="0" w:color="FFFFFF"/>
              <w:left w:val="single" w:sz="4" w:space="0" w:color="FFFFFF"/>
              <w:bottom w:val="single" w:sz="4" w:space="0" w:color="FFFFFF"/>
              <w:right w:val="single" w:sz="4" w:space="0" w:color="FFFFFF"/>
            </w:tcBorders>
            <w:hideMark/>
          </w:tcPr>
          <w:p w:rsidR="00445554" w:rsidRDefault="00445554" w:rsidP="00C30AAA">
            <w:pPr>
              <w:tabs>
                <w:tab w:val="left" w:pos="180"/>
              </w:tabs>
              <w:ind w:left="-180" w:firstLine="180"/>
            </w:pPr>
            <w:r>
              <w:rPr>
                <w:rFonts w:ascii="Arial" w:hAnsi="Arial" w:cs="Arial"/>
                <w:noProof/>
                <w:sz w:val="16"/>
                <w:szCs w:val="16"/>
                <w:lang w:eastAsia="ru-RU"/>
              </w:rPr>
              <w:drawing>
                <wp:inline distT="0" distB="0" distL="0" distR="0">
                  <wp:extent cx="1454785" cy="524510"/>
                  <wp:effectExtent l="0" t="0" r="0" b="8890"/>
                  <wp:docPr id="1" name="Рисунок 1" descr="Безымян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785" cy="524510"/>
                          </a:xfrm>
                          <a:prstGeom prst="rect">
                            <a:avLst/>
                          </a:prstGeom>
                          <a:noFill/>
                          <a:ln>
                            <a:noFill/>
                          </a:ln>
                        </pic:spPr>
                      </pic:pic>
                    </a:graphicData>
                  </a:graphic>
                </wp:inline>
              </w:drawing>
            </w:r>
          </w:p>
        </w:tc>
        <w:tc>
          <w:tcPr>
            <w:tcW w:w="4927" w:type="dxa"/>
            <w:tcBorders>
              <w:top w:val="single" w:sz="4" w:space="0" w:color="FFFFFF"/>
              <w:left w:val="single" w:sz="4" w:space="0" w:color="FFFFFF"/>
              <w:bottom w:val="single" w:sz="4" w:space="0" w:color="FFFFFF"/>
              <w:right w:val="single" w:sz="4" w:space="0" w:color="FFFFFF"/>
            </w:tcBorders>
          </w:tcPr>
          <w:p w:rsidR="00445554" w:rsidRPr="00235C08" w:rsidRDefault="00445554" w:rsidP="00C30AAA">
            <w:pPr>
              <w:pStyle w:val="a6"/>
              <w:rPr>
                <w:rFonts w:ascii="Arial" w:hAnsi="Arial" w:cs="Arial"/>
                <w:sz w:val="20"/>
                <w:szCs w:val="20"/>
                <w:lang w:eastAsia="ru-RU"/>
              </w:rPr>
            </w:pPr>
            <w:r w:rsidRPr="00235C08">
              <w:rPr>
                <w:rFonts w:ascii="Arial" w:hAnsi="Arial" w:cs="Arial"/>
                <w:sz w:val="20"/>
                <w:szCs w:val="20"/>
                <w:lang w:val="ru-RU" w:eastAsia="ru-RU"/>
              </w:rPr>
              <w:t xml:space="preserve">ООО </w:t>
            </w:r>
            <w:r w:rsidR="00C96443">
              <w:rPr>
                <w:rFonts w:ascii="Arial" w:hAnsi="Arial" w:cs="Arial"/>
                <w:sz w:val="20"/>
                <w:szCs w:val="20"/>
                <w:lang w:val="ru-RU" w:eastAsia="ru-RU"/>
              </w:rPr>
              <w:t>«</w:t>
            </w:r>
            <w:r>
              <w:rPr>
                <w:rFonts w:ascii="Arial" w:hAnsi="Arial" w:cs="Arial"/>
                <w:sz w:val="20"/>
                <w:szCs w:val="20"/>
                <w:lang w:val="ru-RU" w:eastAsia="ru-RU"/>
              </w:rPr>
              <w:t xml:space="preserve">АФ </w:t>
            </w:r>
            <w:r w:rsidRPr="00235C08">
              <w:rPr>
                <w:rFonts w:ascii="Arial" w:hAnsi="Arial" w:cs="Arial"/>
                <w:sz w:val="20"/>
                <w:szCs w:val="20"/>
                <w:lang w:val="ru-RU" w:eastAsia="ru-RU"/>
              </w:rPr>
              <w:t xml:space="preserve"> </w:t>
            </w:r>
            <w:r w:rsidR="00C96443">
              <w:rPr>
                <w:rFonts w:ascii="Arial" w:hAnsi="Arial" w:cs="Arial"/>
                <w:sz w:val="20"/>
                <w:szCs w:val="20"/>
                <w:lang w:val="ru-RU" w:eastAsia="ru-RU"/>
              </w:rPr>
              <w:t>«</w:t>
            </w:r>
            <w:r w:rsidRPr="00235C08">
              <w:rPr>
                <w:rFonts w:ascii="Arial" w:hAnsi="Arial" w:cs="Arial"/>
                <w:sz w:val="20"/>
                <w:szCs w:val="20"/>
                <w:lang w:val="ru-RU" w:eastAsia="ru-RU"/>
              </w:rPr>
              <w:t>АВУАР</w:t>
            </w:r>
            <w:r w:rsidR="00C96443">
              <w:rPr>
                <w:rFonts w:ascii="Arial" w:hAnsi="Arial" w:cs="Arial"/>
                <w:sz w:val="20"/>
                <w:szCs w:val="20"/>
                <w:lang w:val="ru-RU" w:eastAsia="ru-RU"/>
              </w:rPr>
              <w:t>»</w:t>
            </w:r>
          </w:p>
          <w:p w:rsidR="00445554" w:rsidRDefault="00445554" w:rsidP="00C30AAA">
            <w:pPr>
              <w:pStyle w:val="a6"/>
              <w:rPr>
                <w:rFonts w:ascii="Arial" w:hAnsi="Arial" w:cs="Arial"/>
                <w:sz w:val="16"/>
                <w:szCs w:val="16"/>
                <w:lang w:eastAsia="ru-RU"/>
              </w:rPr>
            </w:pPr>
            <w:r w:rsidRPr="00235C08">
              <w:rPr>
                <w:rFonts w:ascii="Arial" w:hAnsi="Arial" w:cs="Arial"/>
                <w:sz w:val="16"/>
                <w:szCs w:val="16"/>
                <w:lang w:val="ru-RU" w:eastAsia="ru-RU"/>
              </w:rPr>
              <w:t>45408</w:t>
            </w:r>
            <w:r>
              <w:rPr>
                <w:rFonts w:ascii="Arial" w:hAnsi="Arial" w:cs="Arial"/>
                <w:sz w:val="16"/>
                <w:szCs w:val="16"/>
                <w:lang w:val="ru-RU" w:eastAsia="ru-RU"/>
              </w:rPr>
              <w:t>0</w:t>
            </w:r>
            <w:r w:rsidRPr="00235C08">
              <w:rPr>
                <w:rFonts w:ascii="Arial" w:hAnsi="Arial" w:cs="Arial"/>
                <w:sz w:val="16"/>
                <w:szCs w:val="16"/>
                <w:lang w:val="ru-RU" w:eastAsia="ru-RU"/>
              </w:rPr>
              <w:t xml:space="preserve">, Челябинск, </w:t>
            </w:r>
            <w:proofErr w:type="gramStart"/>
            <w:r>
              <w:rPr>
                <w:rFonts w:ascii="Arial" w:hAnsi="Arial" w:cs="Arial"/>
                <w:sz w:val="16"/>
                <w:szCs w:val="16"/>
                <w:lang w:val="ru-RU" w:eastAsia="ru-RU"/>
              </w:rPr>
              <w:t>Тернопольская</w:t>
            </w:r>
            <w:proofErr w:type="gramEnd"/>
            <w:r w:rsidRPr="00235C08">
              <w:rPr>
                <w:rFonts w:ascii="Arial" w:hAnsi="Arial" w:cs="Arial"/>
                <w:sz w:val="16"/>
                <w:szCs w:val="16"/>
                <w:lang w:val="ru-RU" w:eastAsia="ru-RU"/>
              </w:rPr>
              <w:t xml:space="preserve">, </w:t>
            </w:r>
            <w:r>
              <w:rPr>
                <w:rFonts w:ascii="Arial" w:hAnsi="Arial" w:cs="Arial"/>
                <w:sz w:val="16"/>
                <w:szCs w:val="16"/>
                <w:lang w:val="ru-RU" w:eastAsia="ru-RU"/>
              </w:rPr>
              <w:t>6</w:t>
            </w:r>
            <w:r w:rsidRPr="00235C08">
              <w:rPr>
                <w:rFonts w:ascii="Arial" w:hAnsi="Arial" w:cs="Arial"/>
                <w:sz w:val="16"/>
                <w:szCs w:val="16"/>
                <w:lang w:val="ru-RU" w:eastAsia="ru-RU"/>
              </w:rPr>
              <w:t xml:space="preserve">, </w:t>
            </w:r>
            <w:r>
              <w:rPr>
                <w:rFonts w:ascii="Arial" w:hAnsi="Arial" w:cs="Arial"/>
                <w:sz w:val="16"/>
                <w:szCs w:val="16"/>
                <w:lang w:val="ru-RU" w:eastAsia="ru-RU"/>
              </w:rPr>
              <w:t>4 этаж</w:t>
            </w:r>
          </w:p>
          <w:p w:rsidR="00445554" w:rsidRPr="00235C08" w:rsidRDefault="00445554" w:rsidP="00C30AAA">
            <w:pPr>
              <w:pStyle w:val="a6"/>
              <w:rPr>
                <w:rFonts w:ascii="Arial" w:hAnsi="Arial" w:cs="Arial"/>
                <w:sz w:val="16"/>
                <w:szCs w:val="16"/>
                <w:lang w:eastAsia="ru-RU"/>
              </w:rPr>
            </w:pPr>
            <w:r>
              <w:rPr>
                <w:rFonts w:ascii="Arial" w:hAnsi="Arial" w:cs="Arial"/>
                <w:sz w:val="16"/>
                <w:szCs w:val="16"/>
                <w:lang w:val="ru-RU" w:eastAsia="ru-RU"/>
              </w:rPr>
              <w:t>ИНН/КПП 7438016046/744701001</w:t>
            </w:r>
          </w:p>
          <w:p w:rsidR="00445554" w:rsidRPr="00235C08" w:rsidRDefault="00445554" w:rsidP="00C30AAA">
            <w:pPr>
              <w:pStyle w:val="a6"/>
              <w:rPr>
                <w:rFonts w:ascii="Arial" w:hAnsi="Arial" w:cs="Arial"/>
                <w:sz w:val="16"/>
                <w:szCs w:val="16"/>
                <w:lang w:eastAsia="ru-RU"/>
              </w:rPr>
            </w:pPr>
            <w:r w:rsidRPr="00235C08">
              <w:rPr>
                <w:rFonts w:ascii="Arial" w:hAnsi="Arial" w:cs="Arial"/>
                <w:sz w:val="16"/>
                <w:szCs w:val="16"/>
                <w:lang w:val="ru-RU" w:eastAsia="ru-RU"/>
              </w:rPr>
              <w:t xml:space="preserve">+7 (351) </w:t>
            </w:r>
            <w:r>
              <w:rPr>
                <w:rFonts w:ascii="Arial" w:hAnsi="Arial" w:cs="Arial"/>
                <w:sz w:val="16"/>
                <w:szCs w:val="16"/>
                <w:lang w:val="ru-RU" w:eastAsia="ru-RU"/>
              </w:rPr>
              <w:t xml:space="preserve">216-11-89 </w:t>
            </w:r>
            <w:hyperlink r:id="rId10" w:history="1">
              <w:r w:rsidRPr="00235C08">
                <w:rPr>
                  <w:rStyle w:val="a4"/>
                  <w:rFonts w:ascii="Arial" w:hAnsi="Arial" w:cs="Arial"/>
                  <w:sz w:val="16"/>
                  <w:szCs w:val="16"/>
                  <w:lang w:val="en-US" w:eastAsia="ru-RU"/>
                </w:rPr>
                <w:t>www</w:t>
              </w:r>
              <w:r w:rsidRPr="00235C08">
                <w:rPr>
                  <w:rStyle w:val="a4"/>
                  <w:rFonts w:ascii="Arial" w:hAnsi="Arial" w:cs="Arial"/>
                  <w:sz w:val="16"/>
                  <w:szCs w:val="16"/>
                  <w:lang w:val="ru-RU" w:eastAsia="ru-RU"/>
                </w:rPr>
                <w:t>.</w:t>
              </w:r>
              <w:r w:rsidRPr="00235C08">
                <w:rPr>
                  <w:rStyle w:val="a4"/>
                  <w:rFonts w:ascii="Arial" w:hAnsi="Arial" w:cs="Arial"/>
                  <w:sz w:val="16"/>
                  <w:szCs w:val="16"/>
                  <w:lang w:val="en-US" w:eastAsia="ru-RU"/>
                </w:rPr>
                <w:t>avuar</w:t>
              </w:r>
              <w:r w:rsidRPr="00235C08">
                <w:rPr>
                  <w:rStyle w:val="a4"/>
                  <w:rFonts w:ascii="Arial" w:hAnsi="Arial" w:cs="Arial"/>
                  <w:sz w:val="16"/>
                  <w:szCs w:val="16"/>
                  <w:lang w:val="ru-RU" w:eastAsia="ru-RU"/>
                </w:rPr>
                <w:t>.г</w:t>
              </w:r>
              <w:r w:rsidRPr="00235C08">
                <w:rPr>
                  <w:rStyle w:val="a4"/>
                  <w:rFonts w:ascii="Arial" w:hAnsi="Arial" w:cs="Arial"/>
                  <w:sz w:val="16"/>
                  <w:szCs w:val="16"/>
                  <w:lang w:val="en-US" w:eastAsia="ru-RU"/>
                </w:rPr>
                <w:t>u</w:t>
              </w:r>
            </w:hyperlink>
            <w:r w:rsidRPr="00235C08">
              <w:rPr>
                <w:rFonts w:ascii="Arial" w:hAnsi="Arial" w:cs="Arial"/>
                <w:sz w:val="16"/>
                <w:szCs w:val="16"/>
                <w:lang w:val="ru-RU" w:eastAsia="ru-RU"/>
              </w:rPr>
              <w:t xml:space="preserve"> </w:t>
            </w:r>
          </w:p>
          <w:p w:rsidR="00445554" w:rsidRPr="004A4719" w:rsidRDefault="00445554" w:rsidP="00C30AAA">
            <w:pPr>
              <w:pStyle w:val="a8"/>
              <w:rPr>
                <w:rFonts w:ascii="Arial" w:hAnsi="Arial" w:cs="Arial"/>
                <w:sz w:val="20"/>
                <w:szCs w:val="20"/>
                <w:lang w:eastAsia="ru-RU"/>
              </w:rPr>
            </w:pPr>
          </w:p>
        </w:tc>
      </w:tr>
    </w:tbl>
    <w:p w:rsidR="00445554" w:rsidRDefault="00445554" w:rsidP="00445554">
      <w:pPr>
        <w:jc w:val="center"/>
        <w:rPr>
          <w:rFonts w:ascii="Times New Roman" w:hAnsi="Times New Roman" w:cs="Times New Roman"/>
          <w:b/>
          <w:spacing w:val="20"/>
          <w:sz w:val="32"/>
          <w:szCs w:val="32"/>
        </w:rPr>
      </w:pPr>
    </w:p>
    <w:p w:rsidR="00445554" w:rsidRDefault="00445554" w:rsidP="00445554">
      <w:pPr>
        <w:jc w:val="center"/>
        <w:rPr>
          <w:rFonts w:ascii="Times New Roman" w:hAnsi="Times New Roman" w:cs="Times New Roman"/>
          <w:b/>
          <w:spacing w:val="20"/>
          <w:sz w:val="32"/>
          <w:szCs w:val="32"/>
        </w:rPr>
      </w:pPr>
    </w:p>
    <w:p w:rsidR="00445554" w:rsidRDefault="00445554" w:rsidP="00445554">
      <w:pPr>
        <w:jc w:val="center"/>
        <w:rPr>
          <w:rFonts w:ascii="Times New Roman" w:hAnsi="Times New Roman" w:cs="Times New Roman"/>
          <w:b/>
          <w:spacing w:val="20"/>
          <w:sz w:val="32"/>
          <w:szCs w:val="32"/>
        </w:rPr>
      </w:pPr>
    </w:p>
    <w:p w:rsidR="00445554" w:rsidRDefault="00445554" w:rsidP="00445554">
      <w:pPr>
        <w:jc w:val="center"/>
        <w:rPr>
          <w:rFonts w:ascii="Times New Roman" w:hAnsi="Times New Roman" w:cs="Times New Roman"/>
          <w:b/>
          <w:spacing w:val="20"/>
          <w:sz w:val="32"/>
          <w:szCs w:val="32"/>
        </w:rPr>
      </w:pPr>
    </w:p>
    <w:p w:rsidR="00B01514" w:rsidRDefault="00B01514" w:rsidP="00445554">
      <w:pPr>
        <w:jc w:val="center"/>
        <w:rPr>
          <w:rFonts w:ascii="Times New Roman" w:hAnsi="Times New Roman" w:cs="Times New Roman"/>
          <w:b/>
          <w:spacing w:val="20"/>
          <w:sz w:val="32"/>
          <w:szCs w:val="32"/>
        </w:rPr>
      </w:pPr>
    </w:p>
    <w:p w:rsidR="00445554" w:rsidRDefault="00445554" w:rsidP="00445554">
      <w:pPr>
        <w:jc w:val="center"/>
        <w:rPr>
          <w:rFonts w:ascii="Times New Roman" w:hAnsi="Times New Roman" w:cs="Times New Roman"/>
          <w:b/>
          <w:spacing w:val="20"/>
          <w:sz w:val="32"/>
          <w:szCs w:val="32"/>
        </w:rPr>
      </w:pPr>
    </w:p>
    <w:p w:rsidR="00445554" w:rsidRPr="00445554" w:rsidRDefault="00445554" w:rsidP="00445554">
      <w:pPr>
        <w:jc w:val="center"/>
        <w:rPr>
          <w:rFonts w:ascii="Times New Roman" w:hAnsi="Times New Roman" w:cs="Times New Roman"/>
          <w:spacing w:val="20"/>
          <w:sz w:val="32"/>
          <w:szCs w:val="32"/>
        </w:rPr>
      </w:pPr>
      <w:r w:rsidRPr="00445554">
        <w:rPr>
          <w:rFonts w:ascii="Times New Roman" w:hAnsi="Times New Roman" w:cs="Times New Roman"/>
          <w:b/>
          <w:spacing w:val="20"/>
          <w:sz w:val="32"/>
          <w:szCs w:val="32"/>
        </w:rPr>
        <w:t>ИНФОРМАЦИОННЫЙ БЮЛЛЕТЕНЬ №</w:t>
      </w:r>
      <w:r w:rsidR="004759AA">
        <w:rPr>
          <w:rFonts w:ascii="Times New Roman" w:hAnsi="Times New Roman" w:cs="Times New Roman"/>
          <w:b/>
          <w:spacing w:val="20"/>
          <w:sz w:val="32"/>
          <w:szCs w:val="32"/>
        </w:rPr>
        <w:t>7</w:t>
      </w:r>
    </w:p>
    <w:p w:rsidR="00445554" w:rsidRPr="00B01514" w:rsidRDefault="00C96443" w:rsidP="00B01514">
      <w:pPr>
        <w:pStyle w:val="1"/>
        <w:spacing w:line="570" w:lineRule="atLeast"/>
        <w:jc w:val="center"/>
        <w:rPr>
          <w:color w:val="000000"/>
          <w:sz w:val="40"/>
          <w:szCs w:val="40"/>
        </w:rPr>
      </w:pPr>
      <w:r w:rsidRPr="00B01514">
        <w:rPr>
          <w:sz w:val="40"/>
          <w:szCs w:val="40"/>
        </w:rPr>
        <w:t>«</w:t>
      </w:r>
      <w:r w:rsidR="004759AA">
        <w:rPr>
          <w:sz w:val="40"/>
          <w:szCs w:val="40"/>
        </w:rPr>
        <w:t>Изменения в Законе от 22.05.2003 № 54-ФЗ о применении ККТ</w:t>
      </w:r>
      <w:r w:rsidRPr="00B01514">
        <w:rPr>
          <w:sz w:val="40"/>
          <w:szCs w:val="40"/>
        </w:rPr>
        <w:t>»</w:t>
      </w:r>
    </w:p>
    <w:p w:rsidR="00445554" w:rsidRDefault="00445554" w:rsidP="00445554">
      <w:pPr>
        <w:jc w:val="center"/>
        <w:rPr>
          <w:b/>
          <w:sz w:val="32"/>
        </w:rPr>
      </w:pPr>
    </w:p>
    <w:p w:rsidR="00445554" w:rsidRDefault="00445554" w:rsidP="00445554">
      <w:pPr>
        <w:jc w:val="center"/>
        <w:rPr>
          <w:b/>
          <w:sz w:val="32"/>
        </w:rPr>
      </w:pPr>
    </w:p>
    <w:p w:rsidR="00445554" w:rsidRDefault="00445554" w:rsidP="00445554">
      <w:pPr>
        <w:jc w:val="center"/>
        <w:rPr>
          <w:b/>
          <w:sz w:val="32"/>
        </w:rPr>
      </w:pPr>
    </w:p>
    <w:p w:rsidR="00445554" w:rsidRDefault="00445554" w:rsidP="00445554">
      <w:pPr>
        <w:jc w:val="center"/>
        <w:rPr>
          <w:b/>
          <w:sz w:val="32"/>
        </w:rPr>
      </w:pPr>
    </w:p>
    <w:p w:rsidR="00445554" w:rsidRDefault="00445554" w:rsidP="00445554">
      <w:pPr>
        <w:jc w:val="center"/>
      </w:pPr>
    </w:p>
    <w:p w:rsidR="00445554" w:rsidRDefault="00445554" w:rsidP="00445554">
      <w:pPr>
        <w:jc w:val="center"/>
      </w:pPr>
    </w:p>
    <w:p w:rsidR="00445554" w:rsidRDefault="00445554" w:rsidP="00445554">
      <w:pPr>
        <w:jc w:val="center"/>
      </w:pPr>
    </w:p>
    <w:p w:rsidR="00445554" w:rsidRDefault="00445554" w:rsidP="00445554">
      <w:pPr>
        <w:jc w:val="center"/>
      </w:pPr>
    </w:p>
    <w:p w:rsidR="004E4F65" w:rsidRDefault="004E4F65" w:rsidP="00445554">
      <w:pPr>
        <w:jc w:val="center"/>
        <w:rPr>
          <w:rFonts w:ascii="Times New Roman" w:hAnsi="Times New Roman" w:cs="Times New Roman"/>
          <w:sz w:val="24"/>
        </w:rPr>
      </w:pPr>
    </w:p>
    <w:p w:rsidR="004E4F65" w:rsidRDefault="004E4F65" w:rsidP="00445554">
      <w:pPr>
        <w:jc w:val="center"/>
        <w:rPr>
          <w:rFonts w:ascii="Times New Roman" w:hAnsi="Times New Roman" w:cs="Times New Roman"/>
          <w:sz w:val="24"/>
        </w:rPr>
      </w:pPr>
    </w:p>
    <w:p w:rsidR="00445554" w:rsidRDefault="00445554" w:rsidP="00445554">
      <w:pPr>
        <w:jc w:val="center"/>
        <w:rPr>
          <w:rFonts w:ascii="Times New Roman" w:hAnsi="Times New Roman" w:cs="Times New Roman"/>
          <w:sz w:val="24"/>
        </w:rPr>
      </w:pPr>
      <w:r w:rsidRPr="00445554">
        <w:rPr>
          <w:rFonts w:ascii="Times New Roman" w:hAnsi="Times New Roman" w:cs="Times New Roman"/>
          <w:sz w:val="24"/>
        </w:rPr>
        <w:t xml:space="preserve">г. Челябинск, </w:t>
      </w:r>
      <w:r>
        <w:rPr>
          <w:rFonts w:ascii="Times New Roman" w:hAnsi="Times New Roman" w:cs="Times New Roman"/>
          <w:sz w:val="24"/>
        </w:rPr>
        <w:t>2018</w:t>
      </w:r>
      <w:r w:rsidRPr="00445554">
        <w:rPr>
          <w:rFonts w:ascii="Times New Roman" w:hAnsi="Times New Roman" w:cs="Times New Roman"/>
          <w:sz w:val="24"/>
        </w:rPr>
        <w:t xml:space="preserve"> г.</w:t>
      </w:r>
    </w:p>
    <w:p w:rsidR="004759AA" w:rsidRDefault="004759AA" w:rsidP="004759AA">
      <w:pPr>
        <w:ind w:firstLine="709"/>
        <w:jc w:val="both"/>
        <w:rPr>
          <w:rFonts w:ascii="Times New Roman" w:hAnsi="Times New Roman" w:cs="Times New Roman"/>
          <w:sz w:val="24"/>
          <w:szCs w:val="24"/>
        </w:rPr>
      </w:pP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 xml:space="preserve">Закон от 22.05.2003 № 54-ФЗ долгое время существовал без изменений. Но за последние два года внесено много существенных изменений. И последнее было произведено Федеральным Законом от 03.07.2018 3 192-ФЗ. Часть изменений упорядочила и сняла ранее существовавшие вопросы, а часть изменений породила новые вопросы </w:t>
      </w:r>
      <w:proofErr w:type="gramStart"/>
      <w:r w:rsidRPr="00B66D49">
        <w:rPr>
          <w:rFonts w:ascii="Times New Roman" w:hAnsi="Times New Roman" w:cs="Times New Roman"/>
          <w:sz w:val="24"/>
          <w:szCs w:val="24"/>
        </w:rPr>
        <w:t>к</w:t>
      </w:r>
      <w:proofErr w:type="gramEnd"/>
      <w:r w:rsidRPr="00B66D49">
        <w:rPr>
          <w:rFonts w:ascii="Times New Roman" w:hAnsi="Times New Roman" w:cs="Times New Roman"/>
          <w:sz w:val="24"/>
          <w:szCs w:val="24"/>
        </w:rPr>
        <w:t xml:space="preserve"> порядок применения этого Закона.</w:t>
      </w:r>
    </w:p>
    <w:p w:rsidR="004759AA" w:rsidRPr="00B66D49" w:rsidRDefault="004759AA" w:rsidP="004759AA">
      <w:pPr>
        <w:ind w:firstLine="709"/>
        <w:jc w:val="both"/>
        <w:rPr>
          <w:rFonts w:ascii="Times New Roman" w:hAnsi="Times New Roman" w:cs="Times New Roman"/>
          <w:sz w:val="24"/>
          <w:szCs w:val="24"/>
        </w:rPr>
      </w:pPr>
      <w:bookmarkStart w:id="0" w:name="beznalichnye-raschety-s-fizlicami"/>
      <w:bookmarkEnd w:id="0"/>
      <w:r w:rsidRPr="00B66D49">
        <w:rPr>
          <w:rFonts w:ascii="Times New Roman" w:hAnsi="Times New Roman" w:cs="Times New Roman"/>
          <w:sz w:val="24"/>
          <w:szCs w:val="24"/>
        </w:rPr>
        <w:t>До принятия комментируемых поправок существовала неясность относительно того, нужно ли использовать ККТ, если покупатель — физическое лицо перечислил деньги на банковский счет продавца. Дело в том, что согласно пункту 1 статьи 1.2 Федерального закона от 22.05.03 № 54-ФЗ о применении ККТ, контрольно-кассовая техника в общем случае применяется всеми организациями и предпринимателями при осуществлении ими расчетов. Сразу скажем, что данное правило сохранилось и в новой редакции Закона № 54-ФЗ. Но вот само понятие «расчеты» претерпело серьезные изменения.</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Прежде под расчетами понимался прием или выплата денег с использованием наличных и (или) электронных сре</w:t>
      </w:r>
      <w:proofErr w:type="gramStart"/>
      <w:r w:rsidRPr="00B66D49">
        <w:rPr>
          <w:rFonts w:ascii="Times New Roman" w:hAnsi="Times New Roman" w:cs="Times New Roman"/>
          <w:sz w:val="24"/>
          <w:szCs w:val="24"/>
        </w:rPr>
        <w:t>дств пл</w:t>
      </w:r>
      <w:proofErr w:type="gramEnd"/>
      <w:r w:rsidRPr="00B66D49">
        <w:rPr>
          <w:rFonts w:ascii="Times New Roman" w:hAnsi="Times New Roman" w:cs="Times New Roman"/>
          <w:sz w:val="24"/>
          <w:szCs w:val="24"/>
        </w:rPr>
        <w:t>атежа. Специалисты спорили, подпадает ли под это определение безналичный перевод со счета покупателя на счет поставщика. Чиновники утверждали, что подпадает (письмо Минфина России от 28.04.17 № 03-01-15/26324). Эксперты высказывали другое мнение, согласно которому расчетом является перевод денег посредством интернет-банкинга, или через системы-аналоги классического «банк-клиент». Если же клиент лично пришел в банк и принес платежное поручение, оформленное на бумаге (либо заполнил его на месте), то при такой операции электронные средства платежа не задействованы. Следовательно, данная разновидность безнала не относится к расчетам и не требует применения ККТ.</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Согласно поправкам, под расчетами понимается прием (получение) и выплата денежных средств наличными деньгами и (или) в безналичном порядке. Таким образом, отныне любая безналичная операция, наравне с наличными расчетами, обязывает продавца применить контрольно-кассовую технику.</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Федеральный закон от 03.07.2018 N 192-ФЗ изменил определение «расчетов», и теперь в него включены любые безналичные расчеты, а не только расчеты электронными средствами платежа. А также операции по зачету авансов, «товарные» займы и «бартер» в любой форме.</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 xml:space="preserve">Банковские карты относятся к электронным средствам платежа. </w:t>
      </w:r>
      <w:proofErr w:type="gramStart"/>
      <w:r w:rsidRPr="00B66D49">
        <w:rPr>
          <w:rFonts w:ascii="Times New Roman" w:hAnsi="Times New Roman" w:cs="Times New Roman"/>
          <w:sz w:val="24"/>
          <w:szCs w:val="24"/>
        </w:rPr>
        <w:t>Порядок использования банковских платежных карт установлен «Положением об эмиссии платежных карт и об операциях, совершаемых с их использованием» (утв. Банком России 24.12.2004 N 266-П), которое предусматривает выпуск расчетных (дебетовых), кредитных и предоплаченных карт.</w:t>
      </w:r>
      <w:proofErr w:type="gramEnd"/>
      <w:r w:rsidRPr="00B66D49">
        <w:rPr>
          <w:rFonts w:ascii="Times New Roman" w:hAnsi="Times New Roman" w:cs="Times New Roman"/>
          <w:sz w:val="24"/>
          <w:szCs w:val="24"/>
        </w:rPr>
        <w:t xml:space="preserve"> В частности, дебетовая (расчетная) карта как электронное средство платежа используется для совершения операций по банковскому счету физического (или юридического) лица.</w:t>
      </w:r>
    </w:p>
    <w:p w:rsidR="004759AA" w:rsidRPr="00B66D49" w:rsidRDefault="004759AA" w:rsidP="004759AA">
      <w:pPr>
        <w:ind w:firstLine="709"/>
        <w:jc w:val="both"/>
        <w:rPr>
          <w:rFonts w:ascii="Times New Roman" w:hAnsi="Times New Roman" w:cs="Times New Roman"/>
          <w:sz w:val="24"/>
          <w:szCs w:val="24"/>
        </w:rPr>
      </w:pPr>
      <w:proofErr w:type="gramStart"/>
      <w:r w:rsidRPr="00B66D49">
        <w:rPr>
          <w:rFonts w:ascii="Times New Roman" w:hAnsi="Times New Roman" w:cs="Times New Roman"/>
          <w:sz w:val="24"/>
          <w:szCs w:val="24"/>
        </w:rPr>
        <w:t xml:space="preserve">К операциям, признаваемым одной из безналичных форм расчетов, относится перевод денежных средств посредством списания денежных средств с банковских счетов </w:t>
      </w:r>
      <w:r w:rsidRPr="00B66D49">
        <w:rPr>
          <w:rFonts w:ascii="Times New Roman" w:hAnsi="Times New Roman" w:cs="Times New Roman"/>
          <w:sz w:val="24"/>
          <w:szCs w:val="24"/>
        </w:rPr>
        <w:lastRenderedPageBreak/>
        <w:t>плательщиков и зачисления денежных средств на банковские счета получателей средств (Положение о правилах осуществления перевода денежных средств», утв. Банком России 19.06.2012 N 383-П).</w:t>
      </w:r>
      <w:proofErr w:type="gramEnd"/>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Не только банковская (платежная) карта является электронным средством платежа, но и, например, сама система клиент-банк (которая дает доступ к счетам и картам), поскольку она также позволяет клиенту составлять, удостоверять и передавать оператору (банку) распоряжения в целях осуществления перевода денежных средств, находящихся на счете клиента, используя информационно-коммуникационные технологии.</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Согласно «Положению о правилах осуществления перевода денежных средств» распоряжение на перевод денежных средств может быть дано банку как в электронном виде (в том числе с использованием электронных сре</w:t>
      </w:r>
      <w:proofErr w:type="gramStart"/>
      <w:r w:rsidRPr="00B66D49">
        <w:rPr>
          <w:rFonts w:ascii="Times New Roman" w:hAnsi="Times New Roman" w:cs="Times New Roman"/>
          <w:sz w:val="24"/>
          <w:szCs w:val="24"/>
        </w:rPr>
        <w:t>дств пл</w:t>
      </w:r>
      <w:proofErr w:type="gramEnd"/>
      <w:r w:rsidRPr="00B66D49">
        <w:rPr>
          <w:rFonts w:ascii="Times New Roman" w:hAnsi="Times New Roman" w:cs="Times New Roman"/>
          <w:sz w:val="24"/>
          <w:szCs w:val="24"/>
        </w:rPr>
        <w:t>атежа), так и на бумажных носителях.</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 xml:space="preserve">Таким </w:t>
      </w:r>
      <w:proofErr w:type="gramStart"/>
      <w:r w:rsidRPr="00B66D49">
        <w:rPr>
          <w:rFonts w:ascii="Times New Roman" w:hAnsi="Times New Roman" w:cs="Times New Roman"/>
          <w:sz w:val="24"/>
          <w:szCs w:val="24"/>
        </w:rPr>
        <w:t>образом</w:t>
      </w:r>
      <w:proofErr w:type="gramEnd"/>
      <w:r w:rsidRPr="00B66D49">
        <w:rPr>
          <w:rFonts w:ascii="Times New Roman" w:hAnsi="Times New Roman" w:cs="Times New Roman"/>
          <w:sz w:val="24"/>
          <w:szCs w:val="24"/>
        </w:rPr>
        <w:t xml:space="preserve"> при решении вопроса о применении ККТ необходимо исходить из того, как именно физлицом было дано распоряжение банку на перевод денежных средств с его счета.</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В частности, ряд банков использует банковскую карту только для идентификации плательщика, при этом распоряжение о переводе денежных средств формируется на бумажном носителе при участии сотрудника банка. Однако может быть и иная ситуация, когда сотрудник банка лишь оказывает плательщику услугу по составлению распоряжения о переводе денежных средств, при этом используется банковская карта как ЭСП.</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Скорее всего, в ближайший год  на практике придется исходить «от обратного» - если вы не можете подтвердить, что платеж совершен физлицом без использования электронных сре</w:t>
      </w:r>
      <w:proofErr w:type="gramStart"/>
      <w:r w:rsidRPr="00B66D49">
        <w:rPr>
          <w:rFonts w:ascii="Times New Roman" w:hAnsi="Times New Roman" w:cs="Times New Roman"/>
          <w:sz w:val="24"/>
          <w:szCs w:val="24"/>
        </w:rPr>
        <w:t>дств пл</w:t>
      </w:r>
      <w:proofErr w:type="gramEnd"/>
      <w:r w:rsidRPr="00B66D49">
        <w:rPr>
          <w:rFonts w:ascii="Times New Roman" w:hAnsi="Times New Roman" w:cs="Times New Roman"/>
          <w:sz w:val="24"/>
          <w:szCs w:val="24"/>
        </w:rPr>
        <w:t>атежа, ККТ применять необходимо.</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Что касается документального подтверждения, то «Положением о правилах осуществления перевода денежных средств» установлено, что:</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Исполнение распоряжения в электронном виде в целях осуществления перевода денежных средств по банковскому счету подтверждается банком плательщика посредством направления плательщику извещения в электронном виде о списании денежных сре</w:t>
      </w:r>
      <w:proofErr w:type="gramStart"/>
      <w:r w:rsidRPr="00B66D49">
        <w:rPr>
          <w:rFonts w:ascii="Times New Roman" w:hAnsi="Times New Roman" w:cs="Times New Roman"/>
          <w:sz w:val="24"/>
          <w:szCs w:val="24"/>
        </w:rPr>
        <w:t>дств с б</w:t>
      </w:r>
      <w:proofErr w:type="gramEnd"/>
      <w:r w:rsidRPr="00B66D49">
        <w:rPr>
          <w:rFonts w:ascii="Times New Roman" w:hAnsi="Times New Roman" w:cs="Times New Roman"/>
          <w:sz w:val="24"/>
          <w:szCs w:val="24"/>
        </w:rPr>
        <w:t>анковского счета плательщика с указанием реквизитов исполненного распоряжения или посредством направления исполненного распоряжения в электронном виде с указанием даты исполнения. При этом указанным извещением банка плательщика могут одновременно подтверждаться прием к исполнению распоряжения в электронном виде и его исполнение.</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Как пример – электронная «квитанция», подтверждающая совершение платежа в системе клиент-банк.</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 xml:space="preserve">Исполнение распоряжения на бумажном носителе в целях осуществления перевода денежных средств по банковскому счету подтверждается банком плательщика посредством представления плательщику экземпляра исполненного распоряжения на </w:t>
      </w:r>
      <w:r w:rsidRPr="00B66D49">
        <w:rPr>
          <w:rFonts w:ascii="Times New Roman" w:hAnsi="Times New Roman" w:cs="Times New Roman"/>
          <w:sz w:val="24"/>
          <w:szCs w:val="24"/>
        </w:rPr>
        <w:lastRenderedPageBreak/>
        <w:t>бумажном носителе с указанием даты исполнения, проставлением штампа банка и подписи уполномоченного лица банка. При этом штампом банка плательщика может одновременно подтверждаться прием к исполнению распоряжения на бумажном носителе и его исполнение. Если это предусмотрено договором и банковскими правилами, исполнение распоряжения на бумажном носителе в целях осуществления перевода денежных средств по банковскому счету может подтверждаться банком в порядке, предусмотренном для электронного распоряжения.</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Такие бумажное распоряжение (квитанция) будет на руках у физлица, если он оплачивает счет наличными через сотрудника банка (переводом без открытия счета).</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Исполнение распоряжения клиента при осуществлении операции с использованием электронного средства платежа подтверждается кредитной организацией посредством направления клиенту в порядке, установленном договором, извещения кредитной организации в электронном виде или на бумажном носителе, подтверждающего осуществление операции с использованием электронного средства платежа. В таком извещении в частности указываются:</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наименование или иные реквизиты кредитной организации;</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номер, код и (или) иной идентификатор электронного средства платежа;</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вид операции;</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дата операции;</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сумма операции.</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Пример подтверждений для этого случая -  слипы (квитанции) банковских и платежных терминалов при оплате с карты.</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 xml:space="preserve">Чтобы определить, каким именно способом физлицо совершило оплату (через онлайн-банк, через </w:t>
      </w:r>
      <w:proofErr w:type="spellStart"/>
      <w:r w:rsidRPr="00B66D49">
        <w:rPr>
          <w:rFonts w:ascii="Times New Roman" w:hAnsi="Times New Roman" w:cs="Times New Roman"/>
          <w:sz w:val="24"/>
          <w:szCs w:val="24"/>
        </w:rPr>
        <w:t>операциониста</w:t>
      </w:r>
      <w:proofErr w:type="spellEnd"/>
      <w:r w:rsidRPr="00B66D49">
        <w:rPr>
          <w:rFonts w:ascii="Times New Roman" w:hAnsi="Times New Roman" w:cs="Times New Roman"/>
          <w:sz w:val="24"/>
          <w:szCs w:val="24"/>
        </w:rPr>
        <w:t xml:space="preserve"> банка или как-то еще), рекомендуется запрашивать у плательщиков скан или копию распоряжения о переводе денежных средств</w:t>
      </w:r>
      <w:proofErr w:type="gramStart"/>
      <w:r w:rsidRPr="00B66D49">
        <w:rPr>
          <w:rFonts w:ascii="Times New Roman" w:hAnsi="Times New Roman" w:cs="Times New Roman"/>
          <w:sz w:val="24"/>
          <w:szCs w:val="24"/>
        </w:rPr>
        <w:t xml:space="preserve"> .</w:t>
      </w:r>
      <w:proofErr w:type="gramEnd"/>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Если из этого документа однозначно следует, что платеж был сделан через сотрудника банка и электронное средство платежа (в частности банковская карта) не применялось, вы вправе не использовать ККТ.</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 xml:space="preserve">Если же в документе присутствует идентификатор карты (либо ее использование зафиксировано иным образом), а </w:t>
      </w:r>
      <w:proofErr w:type="gramStart"/>
      <w:r w:rsidRPr="00B66D49">
        <w:rPr>
          <w:rFonts w:ascii="Times New Roman" w:hAnsi="Times New Roman" w:cs="Times New Roman"/>
          <w:sz w:val="24"/>
          <w:szCs w:val="24"/>
        </w:rPr>
        <w:t>также</w:t>
      </w:r>
      <w:proofErr w:type="gramEnd"/>
      <w:r w:rsidRPr="00B66D49">
        <w:rPr>
          <w:rFonts w:ascii="Times New Roman" w:hAnsi="Times New Roman" w:cs="Times New Roman"/>
          <w:sz w:val="24"/>
          <w:szCs w:val="24"/>
        </w:rPr>
        <w:t xml:space="preserve"> если документ подтверждает совершение операции через клиент-банк, ККТ применять придется.</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 xml:space="preserve">Также появились четкие правила относительно того, когда при безналичных расчетах продавец должен оформить кассовый чек, и каким способом следует передать чек покупателю. Так, чек следует сформировать не позднее рабочего дня, следующего за днем осуществления расчета, но не позже момента передачи товара (новый пункт 5.4 статьи 1.2 Закона № 54-ФЗ). Передать чек можно по интернету на телефон клиента или на его электронный адрес. Бумажный чек обычно выдается клиенту вместе с товаром. Но есть и еще один способ — отдать бумажный чек при первом непосредственном </w:t>
      </w:r>
      <w:r w:rsidRPr="00B66D49">
        <w:rPr>
          <w:rFonts w:ascii="Times New Roman" w:hAnsi="Times New Roman" w:cs="Times New Roman"/>
          <w:sz w:val="24"/>
          <w:szCs w:val="24"/>
        </w:rPr>
        <w:lastRenderedPageBreak/>
        <w:t>взаимодействии клиента с продавцом или уполномоченным им лицом (новый пункт 5.3 статьи 1.2 Закона № 54-ФЗ).</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Законодатели разрешили временно не формировать кассовые чеки в ситуации, когда покупатель-физлицо приходит в банк и приносит «бумажное» распоряжение на перевод денег, либо заполняет его на месте. Отсрочка действует и в случае, когда физлицо оплачивает коммунальные услуги или принимает от продавца возврат ранее сделанного аванса. При подобных обстоятельствах продавец вправе не оформлять кассовые чеки вплоть до 1 июля 2019 года. Это прямо оговорено в п. 4 ст. 4 Закона от 03.07.2018 № 192-ФЗ.</w:t>
      </w:r>
    </w:p>
    <w:p w:rsidR="004759AA" w:rsidRPr="00B66D49" w:rsidRDefault="004759AA" w:rsidP="004759AA">
      <w:pPr>
        <w:ind w:firstLine="709"/>
        <w:jc w:val="both"/>
        <w:rPr>
          <w:rFonts w:ascii="Times New Roman" w:hAnsi="Times New Roman" w:cs="Times New Roman"/>
          <w:sz w:val="24"/>
          <w:szCs w:val="24"/>
        </w:rPr>
      </w:pPr>
      <w:bookmarkStart w:id="1" w:name="raschety-mezhdu-organizaciyami-i-ip"/>
      <w:bookmarkEnd w:id="1"/>
      <w:r w:rsidRPr="00B66D49">
        <w:rPr>
          <w:rFonts w:ascii="Times New Roman" w:hAnsi="Times New Roman" w:cs="Times New Roman"/>
          <w:sz w:val="24"/>
          <w:szCs w:val="24"/>
        </w:rPr>
        <w:t>И в прежней, и в новой редакции Закона № 54-ФЗ сказано, что при расчетах между двумя организациями, двумя ИП, либо между организацией и ИП нужно применять контрольно-кассовую технику в двух случаях. Первый — это прием и выдача наличных средств. Второй — это прием и выдача безналичных средств с использованием электронного средства платежа с его предъявлением (например, при помощи пластиковой карты). Что же касается всех прочих безналичных расчетов, то они под закон о ККТ не подпадают.</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До конца июня 2019 года чеки, оформляемые при расчетах между компаниями и предпринимателями, будут такими же, как и при расчетах с физлицами. Но с июля 2019 года начнет действовать новый пункт 6.1 статьи 4.7 Закона № 54-ФЗ. В нем говорится, что при расчетах между юридическими лицами и ИП необходимо выписывать чек, который должен содержать дополнительные реквизиты. Это наименование покупателя (то есть название организации или ФИО предпринимателя) и ИНН покупателя. Плюс к этому в чеке придется указывать следующие данные (при их наличии): сведения о стране происхождения товара; сумма акциза и регистрационный номер таможенной декларации.</w:t>
      </w:r>
    </w:p>
    <w:p w:rsidR="004759AA" w:rsidRPr="00B66D49" w:rsidRDefault="004759AA" w:rsidP="004759AA">
      <w:pPr>
        <w:ind w:firstLine="709"/>
        <w:jc w:val="both"/>
        <w:rPr>
          <w:rFonts w:ascii="Times New Roman" w:hAnsi="Times New Roman" w:cs="Times New Roman"/>
          <w:sz w:val="24"/>
          <w:szCs w:val="24"/>
        </w:rPr>
      </w:pPr>
      <w:bookmarkStart w:id="2" w:name="novshestva-dlya-ip-na-psn"/>
      <w:bookmarkEnd w:id="2"/>
      <w:r w:rsidRPr="00B66D49">
        <w:rPr>
          <w:rFonts w:ascii="Times New Roman" w:hAnsi="Times New Roman" w:cs="Times New Roman"/>
          <w:sz w:val="24"/>
          <w:szCs w:val="24"/>
        </w:rPr>
        <w:t>Согласно прежней редакции Закона № 54-ФЗ, большинство предпринимателей на патенте должны были начать применять онлайн-кассы с июля этого года. Однако Закон от 03.07.2018 № 1992-ФЗ в общем случае освободил ИП на ПСН от этой обязанности. В новом пункте 2.1 статьи 2 Закона № 54-ФЗ сказано, что предприниматели на ПСН могут не оформлять кассовый чек, если взамен они выдают покупателям документ, подтверждающий факт осуществления расчета. Для удобства станем называть его специальным документом.</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Специальный документ должен содержать наименование и порядковый номер, а также некоторые реквизиты, обязательные для кассового чека: ИНН продавца, его систему налогообложения и проч. (полный список реквизитов приведен в абзацах 4-12 пункта 1 статьи 4.7 Закона № 54-ФЗ). Не нужно указывать лишь те реквизиты чека, которые относятся к кассовому аппарату, например, регистрационный номер ККТ, фискальный признак и т.д.</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Однако не обошлось и без исключений. Согласно новой редакции Закона № 54-ФЗ, использовать ККТ все же придется тем ИП на патентной системе, кто занимается следующими видами деятельности:</w:t>
      </w:r>
    </w:p>
    <w:p w:rsidR="004759AA" w:rsidRPr="00B66D49" w:rsidRDefault="004759AA" w:rsidP="004759AA">
      <w:pPr>
        <w:numPr>
          <w:ilvl w:val="0"/>
          <w:numId w:val="45"/>
        </w:numPr>
        <w:jc w:val="both"/>
        <w:rPr>
          <w:rFonts w:ascii="Times New Roman" w:hAnsi="Times New Roman" w:cs="Times New Roman"/>
          <w:sz w:val="24"/>
          <w:szCs w:val="24"/>
        </w:rPr>
      </w:pPr>
      <w:r w:rsidRPr="00B66D49">
        <w:rPr>
          <w:rFonts w:ascii="Times New Roman" w:hAnsi="Times New Roman" w:cs="Times New Roman"/>
          <w:sz w:val="24"/>
          <w:szCs w:val="24"/>
        </w:rPr>
        <w:lastRenderedPageBreak/>
        <w:t>парикмахерские и косметические услуги;</w:t>
      </w:r>
    </w:p>
    <w:p w:rsidR="004759AA" w:rsidRPr="00B66D49" w:rsidRDefault="004759AA" w:rsidP="004759AA">
      <w:pPr>
        <w:numPr>
          <w:ilvl w:val="0"/>
          <w:numId w:val="45"/>
        </w:numPr>
        <w:jc w:val="both"/>
        <w:rPr>
          <w:rFonts w:ascii="Times New Roman" w:hAnsi="Times New Roman" w:cs="Times New Roman"/>
          <w:sz w:val="24"/>
          <w:szCs w:val="24"/>
        </w:rPr>
      </w:pPr>
      <w:r w:rsidRPr="00B66D49">
        <w:rPr>
          <w:rFonts w:ascii="Times New Roman" w:hAnsi="Times New Roman" w:cs="Times New Roman"/>
          <w:sz w:val="24"/>
          <w:szCs w:val="24"/>
        </w:rPr>
        <w:t>ремонт и техобслуживание бытовой радиоэлектронной аппаратуры, бытовых машин и бытовых приборов, часов, ремонт и изготовление металлоизделий;</w:t>
      </w:r>
    </w:p>
    <w:p w:rsidR="004759AA" w:rsidRPr="00B66D49" w:rsidRDefault="004759AA" w:rsidP="004759AA">
      <w:pPr>
        <w:numPr>
          <w:ilvl w:val="0"/>
          <w:numId w:val="45"/>
        </w:numPr>
        <w:jc w:val="both"/>
        <w:rPr>
          <w:rFonts w:ascii="Times New Roman" w:hAnsi="Times New Roman" w:cs="Times New Roman"/>
          <w:sz w:val="24"/>
          <w:szCs w:val="24"/>
        </w:rPr>
      </w:pPr>
      <w:r w:rsidRPr="00B66D49">
        <w:rPr>
          <w:rFonts w:ascii="Times New Roman" w:hAnsi="Times New Roman" w:cs="Times New Roman"/>
          <w:sz w:val="24"/>
          <w:szCs w:val="24"/>
        </w:rPr>
        <w:t>техобслуживание и ремонт автотранспортных и </w:t>
      </w:r>
      <w:proofErr w:type="spellStart"/>
      <w:r w:rsidRPr="00B66D49">
        <w:rPr>
          <w:rFonts w:ascii="Times New Roman" w:hAnsi="Times New Roman" w:cs="Times New Roman"/>
          <w:sz w:val="24"/>
          <w:szCs w:val="24"/>
        </w:rPr>
        <w:t>мототранспортных</w:t>
      </w:r>
      <w:proofErr w:type="spellEnd"/>
      <w:r w:rsidRPr="00B66D49">
        <w:rPr>
          <w:rFonts w:ascii="Times New Roman" w:hAnsi="Times New Roman" w:cs="Times New Roman"/>
          <w:sz w:val="24"/>
          <w:szCs w:val="24"/>
        </w:rPr>
        <w:t xml:space="preserve"> средств, машин и оборудования;</w:t>
      </w:r>
    </w:p>
    <w:p w:rsidR="004759AA" w:rsidRPr="00B66D49" w:rsidRDefault="004759AA" w:rsidP="004759AA">
      <w:pPr>
        <w:numPr>
          <w:ilvl w:val="0"/>
          <w:numId w:val="45"/>
        </w:numPr>
        <w:jc w:val="both"/>
        <w:rPr>
          <w:rFonts w:ascii="Times New Roman" w:hAnsi="Times New Roman" w:cs="Times New Roman"/>
          <w:sz w:val="24"/>
          <w:szCs w:val="24"/>
        </w:rPr>
      </w:pPr>
      <w:r w:rsidRPr="00B66D49">
        <w:rPr>
          <w:rFonts w:ascii="Times New Roman" w:hAnsi="Times New Roman" w:cs="Times New Roman"/>
          <w:sz w:val="24"/>
          <w:szCs w:val="24"/>
        </w:rPr>
        <w:t>автомобильные грузовые и пассажирские перевозки;</w:t>
      </w:r>
    </w:p>
    <w:p w:rsidR="004759AA" w:rsidRPr="00B66D49" w:rsidRDefault="004759AA" w:rsidP="004759AA">
      <w:pPr>
        <w:numPr>
          <w:ilvl w:val="0"/>
          <w:numId w:val="45"/>
        </w:numPr>
        <w:jc w:val="both"/>
        <w:rPr>
          <w:rFonts w:ascii="Times New Roman" w:hAnsi="Times New Roman" w:cs="Times New Roman"/>
          <w:sz w:val="24"/>
          <w:szCs w:val="24"/>
        </w:rPr>
      </w:pPr>
      <w:r w:rsidRPr="00B66D49">
        <w:rPr>
          <w:rFonts w:ascii="Times New Roman" w:hAnsi="Times New Roman" w:cs="Times New Roman"/>
          <w:sz w:val="24"/>
          <w:szCs w:val="24"/>
        </w:rPr>
        <w:t>ветеринарные услуги;</w:t>
      </w:r>
    </w:p>
    <w:p w:rsidR="004759AA" w:rsidRPr="00B66D49" w:rsidRDefault="004759AA" w:rsidP="004759AA">
      <w:pPr>
        <w:numPr>
          <w:ilvl w:val="0"/>
          <w:numId w:val="45"/>
        </w:numPr>
        <w:jc w:val="both"/>
        <w:rPr>
          <w:rFonts w:ascii="Times New Roman" w:hAnsi="Times New Roman" w:cs="Times New Roman"/>
          <w:sz w:val="24"/>
          <w:szCs w:val="24"/>
        </w:rPr>
      </w:pPr>
      <w:r w:rsidRPr="00B66D49">
        <w:rPr>
          <w:rFonts w:ascii="Times New Roman" w:hAnsi="Times New Roman" w:cs="Times New Roman"/>
          <w:sz w:val="24"/>
          <w:szCs w:val="24"/>
        </w:rPr>
        <w:t>проведение занятий по физической культуре и спорту;</w:t>
      </w:r>
    </w:p>
    <w:p w:rsidR="004759AA" w:rsidRPr="00B66D49" w:rsidRDefault="004759AA" w:rsidP="004759AA">
      <w:pPr>
        <w:numPr>
          <w:ilvl w:val="0"/>
          <w:numId w:val="45"/>
        </w:numPr>
        <w:jc w:val="both"/>
        <w:rPr>
          <w:rFonts w:ascii="Times New Roman" w:hAnsi="Times New Roman" w:cs="Times New Roman"/>
          <w:sz w:val="24"/>
          <w:szCs w:val="24"/>
        </w:rPr>
      </w:pPr>
      <w:r w:rsidRPr="00B66D49">
        <w:rPr>
          <w:rFonts w:ascii="Times New Roman" w:hAnsi="Times New Roman" w:cs="Times New Roman"/>
          <w:sz w:val="24"/>
          <w:szCs w:val="24"/>
        </w:rPr>
        <w:t>оказание услуг по перевозке пассажиров и грузов водным транспортом;</w:t>
      </w:r>
    </w:p>
    <w:p w:rsidR="004759AA" w:rsidRPr="00B66D49" w:rsidRDefault="004759AA" w:rsidP="004759AA">
      <w:pPr>
        <w:numPr>
          <w:ilvl w:val="0"/>
          <w:numId w:val="45"/>
        </w:numPr>
        <w:jc w:val="both"/>
        <w:rPr>
          <w:rFonts w:ascii="Times New Roman" w:hAnsi="Times New Roman" w:cs="Times New Roman"/>
          <w:sz w:val="24"/>
          <w:szCs w:val="24"/>
        </w:rPr>
      </w:pPr>
      <w:r w:rsidRPr="00B66D49">
        <w:rPr>
          <w:rFonts w:ascii="Times New Roman" w:hAnsi="Times New Roman" w:cs="Times New Roman"/>
          <w:sz w:val="24"/>
          <w:szCs w:val="24"/>
        </w:rPr>
        <w:t>ведение охотничьего хозяйства и осуществление охоты;</w:t>
      </w:r>
    </w:p>
    <w:p w:rsidR="004759AA" w:rsidRPr="00B66D49" w:rsidRDefault="004759AA" w:rsidP="004759AA">
      <w:pPr>
        <w:numPr>
          <w:ilvl w:val="0"/>
          <w:numId w:val="45"/>
        </w:numPr>
        <w:jc w:val="both"/>
        <w:rPr>
          <w:rFonts w:ascii="Times New Roman" w:hAnsi="Times New Roman" w:cs="Times New Roman"/>
          <w:sz w:val="24"/>
          <w:szCs w:val="24"/>
        </w:rPr>
      </w:pPr>
      <w:r w:rsidRPr="00B66D49">
        <w:rPr>
          <w:rFonts w:ascii="Times New Roman" w:hAnsi="Times New Roman" w:cs="Times New Roman"/>
          <w:sz w:val="24"/>
          <w:szCs w:val="24"/>
        </w:rPr>
        <w:t>занятие медицинской деятельностью или фармацевтической деятельностью;</w:t>
      </w:r>
    </w:p>
    <w:p w:rsidR="004759AA" w:rsidRPr="00B66D49" w:rsidRDefault="004759AA" w:rsidP="004759AA">
      <w:pPr>
        <w:numPr>
          <w:ilvl w:val="0"/>
          <w:numId w:val="45"/>
        </w:numPr>
        <w:jc w:val="both"/>
        <w:rPr>
          <w:rFonts w:ascii="Times New Roman" w:hAnsi="Times New Roman" w:cs="Times New Roman"/>
          <w:sz w:val="24"/>
          <w:szCs w:val="24"/>
        </w:rPr>
      </w:pPr>
      <w:r w:rsidRPr="00B66D49">
        <w:rPr>
          <w:rFonts w:ascii="Times New Roman" w:hAnsi="Times New Roman" w:cs="Times New Roman"/>
          <w:sz w:val="24"/>
          <w:szCs w:val="24"/>
        </w:rPr>
        <w:t>услуги по прокату;</w:t>
      </w:r>
    </w:p>
    <w:p w:rsidR="004759AA" w:rsidRPr="00B66D49" w:rsidRDefault="004759AA" w:rsidP="004759AA">
      <w:pPr>
        <w:numPr>
          <w:ilvl w:val="0"/>
          <w:numId w:val="45"/>
        </w:numPr>
        <w:jc w:val="both"/>
        <w:rPr>
          <w:rFonts w:ascii="Times New Roman" w:hAnsi="Times New Roman" w:cs="Times New Roman"/>
          <w:sz w:val="24"/>
          <w:szCs w:val="24"/>
        </w:rPr>
      </w:pPr>
      <w:r w:rsidRPr="00B66D49">
        <w:rPr>
          <w:rFonts w:ascii="Times New Roman" w:hAnsi="Times New Roman" w:cs="Times New Roman"/>
          <w:sz w:val="24"/>
          <w:szCs w:val="24"/>
        </w:rPr>
        <w:t>розничная торговля и услуги общепита;</w:t>
      </w:r>
    </w:p>
    <w:p w:rsidR="004759AA" w:rsidRPr="00B66D49" w:rsidRDefault="004759AA" w:rsidP="004759AA">
      <w:pPr>
        <w:numPr>
          <w:ilvl w:val="0"/>
          <w:numId w:val="45"/>
        </w:numPr>
        <w:rPr>
          <w:rFonts w:ascii="Times New Roman" w:hAnsi="Times New Roman" w:cs="Times New Roman"/>
          <w:sz w:val="24"/>
          <w:szCs w:val="24"/>
        </w:rPr>
      </w:pPr>
      <w:r w:rsidRPr="00B66D49">
        <w:rPr>
          <w:rFonts w:ascii="Times New Roman" w:hAnsi="Times New Roman" w:cs="Times New Roman"/>
          <w:sz w:val="24"/>
          <w:szCs w:val="24"/>
        </w:rPr>
        <w:t>производство молочной продукции;</w:t>
      </w:r>
    </w:p>
    <w:p w:rsidR="004759AA" w:rsidRPr="00B66D49" w:rsidRDefault="004759AA" w:rsidP="004759AA">
      <w:pPr>
        <w:numPr>
          <w:ilvl w:val="0"/>
          <w:numId w:val="45"/>
        </w:numPr>
        <w:rPr>
          <w:rFonts w:ascii="Times New Roman" w:hAnsi="Times New Roman" w:cs="Times New Roman"/>
          <w:sz w:val="24"/>
          <w:szCs w:val="24"/>
        </w:rPr>
      </w:pPr>
      <w:r w:rsidRPr="00B66D49">
        <w:rPr>
          <w:rFonts w:ascii="Times New Roman" w:hAnsi="Times New Roman" w:cs="Times New Roman"/>
          <w:sz w:val="24"/>
          <w:szCs w:val="24"/>
        </w:rPr>
        <w:t>товарное и спортивное рыболовство и рыбоводство;</w:t>
      </w:r>
    </w:p>
    <w:p w:rsidR="004759AA" w:rsidRPr="00B66D49" w:rsidRDefault="004759AA" w:rsidP="004759AA">
      <w:pPr>
        <w:numPr>
          <w:ilvl w:val="0"/>
          <w:numId w:val="45"/>
        </w:numPr>
        <w:rPr>
          <w:rFonts w:ascii="Times New Roman" w:hAnsi="Times New Roman" w:cs="Times New Roman"/>
          <w:sz w:val="24"/>
          <w:szCs w:val="24"/>
        </w:rPr>
      </w:pPr>
      <w:r w:rsidRPr="00B66D49">
        <w:rPr>
          <w:rFonts w:ascii="Times New Roman" w:hAnsi="Times New Roman" w:cs="Times New Roman"/>
          <w:sz w:val="24"/>
          <w:szCs w:val="24"/>
        </w:rPr>
        <w:t>ремонт компьютеров и коммуникационного оборудования.</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При этом данным ИП (кроме тех, кто занимается розницей и общепитом) предоставлена отсрочка: они могут не оформлять кассовые чеки до 1 июля 2019 года. </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Если ИП воспользовался отсрочкой, то до июля 2019 года он может выдавать покупателям товарные чеки, квитанции или другие простые документы, подтверждающие расчеты. Простой документ должен соответствовать определенным требованиям, но они отличаются от тех, что предъявляются к специальному документу. Так, в простом документе нужно указать следующие реквизиты: наименование, порядковый номер, дату выдачи, название или ФИО продавца, его ИНН, название и количество товара, сумму оплаты, а также должность, фамилию, инициалы и личную подпись выдавшего лица.</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По старым правилам кассу, которую применяли в составе торгового автомата, нужно было устанавливать внутри его корпуса. Комментируемые поправки вводят ряд исключений из этого общего правила. Так, онлайн-касса может находиться вне корпуса автомата, взимающего плату за услуги по перевозке пассажиров, багажа, грузов и </w:t>
      </w:r>
      <w:proofErr w:type="spellStart"/>
      <w:r w:rsidRPr="00B66D49">
        <w:rPr>
          <w:rFonts w:ascii="Times New Roman" w:hAnsi="Times New Roman" w:cs="Times New Roman"/>
          <w:sz w:val="24"/>
          <w:szCs w:val="24"/>
        </w:rPr>
        <w:t>грузобагажа</w:t>
      </w:r>
      <w:proofErr w:type="spellEnd"/>
      <w:r w:rsidRPr="00B66D49">
        <w:rPr>
          <w:rFonts w:ascii="Times New Roman" w:hAnsi="Times New Roman" w:cs="Times New Roman"/>
          <w:sz w:val="24"/>
          <w:szCs w:val="24"/>
        </w:rPr>
        <w:t xml:space="preserve">. При этом необходимо, чтобы на корпусе в доступном месте находился легко читаемый заводской номер торгового автомата. Если все условия выполнены, то ККТ, </w:t>
      </w:r>
      <w:proofErr w:type="gramStart"/>
      <w:r w:rsidRPr="00B66D49">
        <w:rPr>
          <w:rFonts w:ascii="Times New Roman" w:hAnsi="Times New Roman" w:cs="Times New Roman"/>
          <w:sz w:val="24"/>
          <w:szCs w:val="24"/>
        </w:rPr>
        <w:t>размещенная</w:t>
      </w:r>
      <w:proofErr w:type="gramEnd"/>
      <w:r w:rsidRPr="00B66D49">
        <w:rPr>
          <w:rFonts w:ascii="Times New Roman" w:hAnsi="Times New Roman" w:cs="Times New Roman"/>
          <w:sz w:val="24"/>
          <w:szCs w:val="24"/>
        </w:rPr>
        <w:t xml:space="preserve"> отдельно от автомата, может не выдавать чеки, а если покупатель не сообщил свой электронный адрес или номер телефона, то онлайн-касса может не направлять чеки по интернету (новые подп. 1 п. 5.1 и п. 5.2 ст. 1.2 Закона № 54-ФЗ).</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lastRenderedPageBreak/>
        <w:t xml:space="preserve">С февраля 2020 года разрешат устанавливать ККТ отдельно от автомата, если на его дисплее отображается QR-код, </w:t>
      </w:r>
      <w:proofErr w:type="gramStart"/>
      <w:r w:rsidRPr="00B66D49">
        <w:rPr>
          <w:rFonts w:ascii="Times New Roman" w:hAnsi="Times New Roman" w:cs="Times New Roman"/>
          <w:sz w:val="24"/>
          <w:szCs w:val="24"/>
        </w:rPr>
        <w:t>позволяющий</w:t>
      </w:r>
      <w:proofErr w:type="gramEnd"/>
      <w:r w:rsidRPr="00B66D49">
        <w:rPr>
          <w:rFonts w:ascii="Times New Roman" w:hAnsi="Times New Roman" w:cs="Times New Roman"/>
          <w:sz w:val="24"/>
          <w:szCs w:val="24"/>
        </w:rPr>
        <w:t xml:space="preserve"> покупателю считать и идентифицировать онлайн-чек. В случае применения таких касс можно не печатать и не направлять покупателям чеки. Правда, здесь есть дополнительное условие — автомат не должен продавать подакцизную или технически сложную продукцию и товары, подлежащие обязательной маркировке (новый подп. 2 п. 5.1 ст. 1.2 Закона № 54-ФЗ).</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 xml:space="preserve">Также есть нововведения для автоматов, расчеты в которых совершаются исключительно монетами. Если эти автоматы не питаются от электрической энергии, в том </w:t>
      </w:r>
      <w:proofErr w:type="gramStart"/>
      <w:r w:rsidRPr="00B66D49">
        <w:rPr>
          <w:rFonts w:ascii="Times New Roman" w:hAnsi="Times New Roman" w:cs="Times New Roman"/>
          <w:sz w:val="24"/>
          <w:szCs w:val="24"/>
        </w:rPr>
        <w:t>числе</w:t>
      </w:r>
      <w:proofErr w:type="gramEnd"/>
      <w:r w:rsidRPr="00B66D49">
        <w:rPr>
          <w:rFonts w:ascii="Times New Roman" w:hAnsi="Times New Roman" w:cs="Times New Roman"/>
          <w:sz w:val="24"/>
          <w:szCs w:val="24"/>
        </w:rPr>
        <w:t xml:space="preserve"> от аккумуляторов и батарей, то устанавливать в них контрольно-кассовую технику больше не нужно (новый п. 1.1 ст. 2 Закона № 54-ФЗ).</w:t>
      </w:r>
    </w:p>
    <w:p w:rsidR="004759AA" w:rsidRPr="00B66D49" w:rsidRDefault="004759AA" w:rsidP="004759AA">
      <w:pPr>
        <w:ind w:firstLine="709"/>
        <w:jc w:val="both"/>
        <w:rPr>
          <w:rFonts w:ascii="Times New Roman" w:hAnsi="Times New Roman" w:cs="Times New Roman"/>
          <w:sz w:val="24"/>
          <w:szCs w:val="24"/>
        </w:rPr>
      </w:pPr>
      <w:bookmarkStart w:id="3" w:name="novshestva-dlya-platezhnyh-agentov-i-str"/>
      <w:bookmarkEnd w:id="3"/>
      <w:r w:rsidRPr="00B66D49">
        <w:rPr>
          <w:rFonts w:ascii="Times New Roman" w:hAnsi="Times New Roman" w:cs="Times New Roman"/>
          <w:sz w:val="24"/>
          <w:szCs w:val="24"/>
        </w:rPr>
        <w:t>В статье 1.2 Закона № 54-ФЗ появился новый пункт 5.5, посвященный платежным агентам и субагентам, которые производят расчеты посредством автоматических устройств. Новая норма обязывает их выдавать кассовые чеки на бумажном носителе, либо направлять их в электронной форме. Есть и альтернативный вариант: переслать клиенту сведения, идентифицирующие онлайн-чек. К ним относятся: регистрационный номер кассы, сумма, дата и время расчета и проч. При помощи этих сведений клиент сможет найти и бесплатно получить свой чек на </w:t>
      </w:r>
      <w:proofErr w:type="gramStart"/>
      <w:r w:rsidRPr="00B66D49">
        <w:rPr>
          <w:rFonts w:ascii="Times New Roman" w:hAnsi="Times New Roman" w:cs="Times New Roman"/>
          <w:sz w:val="24"/>
          <w:szCs w:val="24"/>
        </w:rPr>
        <w:t>информационном</w:t>
      </w:r>
      <w:proofErr w:type="gramEnd"/>
      <w:r w:rsidRPr="00B66D49">
        <w:rPr>
          <w:rFonts w:ascii="Times New Roman" w:hAnsi="Times New Roman" w:cs="Times New Roman"/>
          <w:sz w:val="24"/>
          <w:szCs w:val="24"/>
        </w:rPr>
        <w:t xml:space="preserve"> </w:t>
      </w:r>
      <w:proofErr w:type="spellStart"/>
      <w:r w:rsidRPr="00B66D49">
        <w:rPr>
          <w:rFonts w:ascii="Times New Roman" w:hAnsi="Times New Roman" w:cs="Times New Roman"/>
          <w:sz w:val="24"/>
          <w:szCs w:val="24"/>
        </w:rPr>
        <w:t>интернет-ресурсе</w:t>
      </w:r>
      <w:proofErr w:type="spellEnd"/>
      <w:r w:rsidRPr="00B66D49">
        <w:rPr>
          <w:rFonts w:ascii="Times New Roman" w:hAnsi="Times New Roman" w:cs="Times New Roman"/>
          <w:sz w:val="24"/>
          <w:szCs w:val="24"/>
        </w:rPr>
        <w:t>, который указал продавец.</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Предусмотрены поправки и для страховщиков. Новый пункт 11 статьи 2 Закона № 54-ФЗ адресован страховщикам, которые рассчитываются со страхователями через агентов, не являющихся организациями или ИП. В такой ситуации страховщик обязан оформить чек или бланк строгой отчетности в электронной форме и направить его страхователю.</w:t>
      </w:r>
    </w:p>
    <w:p w:rsidR="004759AA" w:rsidRPr="00B66D49" w:rsidRDefault="004759AA" w:rsidP="004759AA">
      <w:pPr>
        <w:ind w:firstLine="709"/>
        <w:jc w:val="both"/>
        <w:rPr>
          <w:rFonts w:ascii="Times New Roman" w:hAnsi="Times New Roman" w:cs="Times New Roman"/>
          <w:sz w:val="24"/>
          <w:szCs w:val="24"/>
        </w:rPr>
      </w:pPr>
      <w:bookmarkStart w:id="4" w:name="vidy-deyatelnosti-ne-trebuyushchie-prime"/>
      <w:bookmarkEnd w:id="4"/>
      <w:r w:rsidRPr="00B66D49">
        <w:rPr>
          <w:rFonts w:ascii="Times New Roman" w:hAnsi="Times New Roman" w:cs="Times New Roman"/>
          <w:sz w:val="24"/>
          <w:szCs w:val="24"/>
        </w:rPr>
        <w:t>Законодатели скорректировали перечень видов деятельности, позволяющих не применять контрольно-кассовую технику. Вот основные изменения:</w:t>
      </w:r>
    </w:p>
    <w:p w:rsidR="004759AA" w:rsidRPr="00B66D49" w:rsidRDefault="004759AA" w:rsidP="004759AA">
      <w:pPr>
        <w:numPr>
          <w:ilvl w:val="0"/>
          <w:numId w:val="46"/>
        </w:numPr>
        <w:jc w:val="both"/>
        <w:rPr>
          <w:rFonts w:ascii="Times New Roman" w:hAnsi="Times New Roman" w:cs="Times New Roman"/>
          <w:sz w:val="24"/>
          <w:szCs w:val="24"/>
        </w:rPr>
      </w:pPr>
      <w:r w:rsidRPr="00B66D49">
        <w:rPr>
          <w:rFonts w:ascii="Times New Roman" w:hAnsi="Times New Roman" w:cs="Times New Roman"/>
          <w:sz w:val="24"/>
          <w:szCs w:val="24"/>
        </w:rPr>
        <w:t>уточнено, что освобождение от ККТ распространяется только на газеты и журналы, напечатанные на бумажном носителе;</w:t>
      </w:r>
    </w:p>
    <w:p w:rsidR="004759AA" w:rsidRPr="00B66D49" w:rsidRDefault="004759AA" w:rsidP="004759AA">
      <w:pPr>
        <w:numPr>
          <w:ilvl w:val="0"/>
          <w:numId w:val="46"/>
        </w:numPr>
        <w:jc w:val="both"/>
        <w:rPr>
          <w:rFonts w:ascii="Times New Roman" w:hAnsi="Times New Roman" w:cs="Times New Roman"/>
          <w:sz w:val="24"/>
          <w:szCs w:val="24"/>
        </w:rPr>
      </w:pPr>
      <w:r w:rsidRPr="00B66D49">
        <w:rPr>
          <w:rFonts w:ascii="Times New Roman" w:hAnsi="Times New Roman" w:cs="Times New Roman"/>
          <w:sz w:val="24"/>
          <w:szCs w:val="24"/>
        </w:rPr>
        <w:t>добавлено условие, что не подпадает под освобождение от ККТ разносная торговля товарами, подлежащими обязательной маркировке средствами идентификации;</w:t>
      </w:r>
    </w:p>
    <w:p w:rsidR="004759AA" w:rsidRPr="00B66D49" w:rsidRDefault="004759AA" w:rsidP="004759AA">
      <w:pPr>
        <w:numPr>
          <w:ilvl w:val="0"/>
          <w:numId w:val="46"/>
        </w:numPr>
        <w:jc w:val="both"/>
        <w:rPr>
          <w:rFonts w:ascii="Times New Roman" w:hAnsi="Times New Roman" w:cs="Times New Roman"/>
          <w:sz w:val="24"/>
          <w:szCs w:val="24"/>
        </w:rPr>
      </w:pPr>
      <w:r w:rsidRPr="00B66D49">
        <w:rPr>
          <w:rFonts w:ascii="Times New Roman" w:hAnsi="Times New Roman" w:cs="Times New Roman"/>
          <w:sz w:val="24"/>
          <w:szCs w:val="24"/>
        </w:rPr>
        <w:t>освобождение от ККТ распространено на разносную торговлю на борту воздушных судов (ранее действовало только для поездов, ручных тележек, велосипедов, корзин и лотков);</w:t>
      </w:r>
    </w:p>
    <w:p w:rsidR="004759AA" w:rsidRPr="00B66D49" w:rsidRDefault="004759AA" w:rsidP="004759AA">
      <w:pPr>
        <w:numPr>
          <w:ilvl w:val="0"/>
          <w:numId w:val="46"/>
        </w:numPr>
        <w:jc w:val="both"/>
        <w:rPr>
          <w:rFonts w:ascii="Times New Roman" w:hAnsi="Times New Roman" w:cs="Times New Roman"/>
          <w:sz w:val="24"/>
          <w:szCs w:val="24"/>
        </w:rPr>
      </w:pPr>
      <w:r w:rsidRPr="00B66D49">
        <w:rPr>
          <w:rFonts w:ascii="Times New Roman" w:hAnsi="Times New Roman" w:cs="Times New Roman"/>
          <w:sz w:val="24"/>
          <w:szCs w:val="24"/>
        </w:rPr>
        <w:t>от применения ККТ освободили продажу в розлив молока и питьевой воды (ранее освобождалась продажа мороженого и безалкогольных напитков);</w:t>
      </w:r>
    </w:p>
    <w:p w:rsidR="004759AA" w:rsidRPr="00B66D49" w:rsidRDefault="004759AA" w:rsidP="004759AA">
      <w:pPr>
        <w:numPr>
          <w:ilvl w:val="0"/>
          <w:numId w:val="46"/>
        </w:numPr>
        <w:jc w:val="both"/>
        <w:rPr>
          <w:rFonts w:ascii="Times New Roman" w:hAnsi="Times New Roman" w:cs="Times New Roman"/>
          <w:sz w:val="24"/>
          <w:szCs w:val="24"/>
        </w:rPr>
      </w:pPr>
      <w:r w:rsidRPr="00B66D49">
        <w:rPr>
          <w:rFonts w:ascii="Times New Roman" w:hAnsi="Times New Roman" w:cs="Times New Roman"/>
          <w:sz w:val="24"/>
          <w:szCs w:val="24"/>
        </w:rPr>
        <w:t>от применения ККТ освобождены платные услуги, оказываемые государственными и муниципальными библиотеками;</w:t>
      </w:r>
    </w:p>
    <w:p w:rsidR="004759AA" w:rsidRPr="00B66D49" w:rsidRDefault="004759AA" w:rsidP="004759AA">
      <w:pPr>
        <w:numPr>
          <w:ilvl w:val="0"/>
          <w:numId w:val="46"/>
        </w:numPr>
        <w:jc w:val="both"/>
        <w:rPr>
          <w:rFonts w:ascii="Times New Roman" w:hAnsi="Times New Roman" w:cs="Times New Roman"/>
          <w:sz w:val="24"/>
          <w:szCs w:val="24"/>
        </w:rPr>
      </w:pPr>
      <w:r w:rsidRPr="00B66D49">
        <w:rPr>
          <w:rFonts w:ascii="Times New Roman" w:hAnsi="Times New Roman" w:cs="Times New Roman"/>
          <w:sz w:val="24"/>
          <w:szCs w:val="24"/>
        </w:rPr>
        <w:t>от применения ККТ освобождено предоставление платных парковочных мест на дорогах общего пользования и на региональных, муниципальных и земельных участках;</w:t>
      </w:r>
    </w:p>
    <w:p w:rsidR="004759AA" w:rsidRPr="00B66D49" w:rsidRDefault="004759AA" w:rsidP="004759AA">
      <w:pPr>
        <w:numPr>
          <w:ilvl w:val="0"/>
          <w:numId w:val="46"/>
        </w:numPr>
        <w:jc w:val="both"/>
        <w:rPr>
          <w:rFonts w:ascii="Times New Roman" w:hAnsi="Times New Roman" w:cs="Times New Roman"/>
          <w:sz w:val="24"/>
          <w:szCs w:val="24"/>
        </w:rPr>
      </w:pPr>
      <w:r w:rsidRPr="00B66D49">
        <w:rPr>
          <w:rFonts w:ascii="Times New Roman" w:hAnsi="Times New Roman" w:cs="Times New Roman"/>
          <w:sz w:val="24"/>
          <w:szCs w:val="24"/>
        </w:rPr>
        <w:lastRenderedPageBreak/>
        <w:t>с 1 июля 2019 года отменяется освобождение, действовавшее для продажи проездных билетов в салоне общественного транспорта.</w:t>
      </w:r>
    </w:p>
    <w:p w:rsidR="004759AA" w:rsidRPr="00B66D49" w:rsidRDefault="004759AA" w:rsidP="004759AA">
      <w:pPr>
        <w:ind w:firstLine="709"/>
        <w:jc w:val="both"/>
        <w:rPr>
          <w:rFonts w:ascii="Times New Roman" w:hAnsi="Times New Roman" w:cs="Times New Roman"/>
          <w:sz w:val="24"/>
          <w:szCs w:val="24"/>
        </w:rPr>
      </w:pPr>
      <w:bookmarkStart w:id="5" w:name="izmeneniya-v-oformlenii-chekov-i-bso"/>
      <w:bookmarkEnd w:id="5"/>
      <w:r w:rsidRPr="00B66D49">
        <w:rPr>
          <w:rFonts w:ascii="Times New Roman" w:hAnsi="Times New Roman" w:cs="Times New Roman"/>
          <w:sz w:val="24"/>
          <w:szCs w:val="24"/>
        </w:rPr>
        <w:t>В </w:t>
      </w:r>
      <w:r>
        <w:rPr>
          <w:rFonts w:ascii="Times New Roman" w:hAnsi="Times New Roman" w:cs="Times New Roman"/>
          <w:sz w:val="24"/>
          <w:szCs w:val="24"/>
        </w:rPr>
        <w:t>Законе от 03.07.218 № 192-ФЗ</w:t>
      </w:r>
      <w:r w:rsidRPr="00B66D49">
        <w:rPr>
          <w:rFonts w:ascii="Times New Roman" w:hAnsi="Times New Roman" w:cs="Times New Roman"/>
          <w:sz w:val="24"/>
          <w:szCs w:val="24"/>
        </w:rPr>
        <w:t xml:space="preserve"> содержатся </w:t>
      </w:r>
      <w:r>
        <w:rPr>
          <w:rFonts w:ascii="Times New Roman" w:hAnsi="Times New Roman" w:cs="Times New Roman"/>
          <w:sz w:val="24"/>
          <w:szCs w:val="24"/>
        </w:rPr>
        <w:t>изменения</w:t>
      </w:r>
      <w:r w:rsidRPr="00B66D49">
        <w:rPr>
          <w:rFonts w:ascii="Times New Roman" w:hAnsi="Times New Roman" w:cs="Times New Roman"/>
          <w:sz w:val="24"/>
          <w:szCs w:val="24"/>
        </w:rPr>
        <w:t xml:space="preserve">, касающиеся обязательных реквизитов кассового чека и бланка строгой отчетности. Во-первых, появилось уточнение, что цена за единицу должна быть указана в валюте РФ. </w:t>
      </w:r>
      <w:proofErr w:type="gramStart"/>
      <w:r w:rsidRPr="00B66D49">
        <w:rPr>
          <w:rFonts w:ascii="Times New Roman" w:hAnsi="Times New Roman" w:cs="Times New Roman"/>
          <w:sz w:val="24"/>
          <w:szCs w:val="24"/>
        </w:rPr>
        <w:t>Во-вторых, поменялась формулировка формы расчета: прежде было «наличными» и (или) «электронными», теперь стало «наличными» и (или) «в безналичном порядке».</w:t>
      </w:r>
      <w:proofErr w:type="gramEnd"/>
      <w:r w:rsidRPr="00B66D49">
        <w:rPr>
          <w:rFonts w:ascii="Times New Roman" w:hAnsi="Times New Roman" w:cs="Times New Roman"/>
          <w:sz w:val="24"/>
          <w:szCs w:val="24"/>
        </w:rPr>
        <w:t xml:space="preserve"> В-третьих, QR-код стал обязательным реквизитом кассового чека и БСО (п. 1 ст. 4.7 Закона № 54-ФЗ в новой редакции).</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Кроме того, с июля 2019 года начнут действовать особые правила для чеков и БСО, которые выдаются при выплате выигрышей в лотерее и азартных играх, а также при получении страховой премии и при страховой выплате. В таких чеках и БСО, помимо обычных реквизитов, нужно будет указывать наименование, либо ФИО клиента или страхователя, и его ИНН (для физического лица — серию и номер паспорта). Это предусмотрено новым пунктом 6.2 статьи 4.7 Закона № 54-ФЗ.</w:t>
      </w:r>
    </w:p>
    <w:p w:rsidR="004759AA" w:rsidRPr="00B66D49" w:rsidRDefault="004759AA" w:rsidP="004759AA">
      <w:pPr>
        <w:ind w:firstLine="709"/>
        <w:jc w:val="both"/>
        <w:rPr>
          <w:rFonts w:ascii="Times New Roman" w:hAnsi="Times New Roman" w:cs="Times New Roman"/>
          <w:sz w:val="24"/>
          <w:szCs w:val="24"/>
        </w:rPr>
      </w:pPr>
      <w:bookmarkStart w:id="6" w:name="izmeneniya-dlya-fiskalnyh-nakopiteley"/>
      <w:bookmarkEnd w:id="6"/>
      <w:r w:rsidRPr="00B66D49">
        <w:rPr>
          <w:rFonts w:ascii="Times New Roman" w:hAnsi="Times New Roman" w:cs="Times New Roman"/>
          <w:sz w:val="24"/>
          <w:szCs w:val="24"/>
        </w:rPr>
        <w:t>Еще недавно на рынке были представлены фискальные накопители только двух видов: со сроком действия 36 месяцев и сроком действия 13 месяцев. Сейчас к ним добавились накопители со сроком действия 15 месяцев. Не исключено, что в будущем появятся накопители, рассчитанные на иной срок.</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Законодатели учли эти изменения. Прежде в пункте 6 статьи 4.1 Закона № 54-ФЗ говорилось, что в общем случае пользователи на </w:t>
      </w:r>
      <w:proofErr w:type="spellStart"/>
      <w:r w:rsidRPr="00B66D49">
        <w:rPr>
          <w:rFonts w:ascii="Times New Roman" w:hAnsi="Times New Roman" w:cs="Times New Roman"/>
          <w:sz w:val="24"/>
          <w:szCs w:val="24"/>
        </w:rPr>
        <w:t>спецрежимах</w:t>
      </w:r>
      <w:proofErr w:type="spellEnd"/>
      <w:r w:rsidRPr="00B66D49">
        <w:rPr>
          <w:rFonts w:ascii="Times New Roman" w:hAnsi="Times New Roman" w:cs="Times New Roman"/>
          <w:sz w:val="24"/>
          <w:szCs w:val="24"/>
        </w:rPr>
        <w:t xml:space="preserve"> обязаны применять фискальные накопители со сроком действия не менее 36 месяцев. И лишь для некоторых пользователей (в частности, для совмещающих </w:t>
      </w:r>
      <w:proofErr w:type="spellStart"/>
      <w:r w:rsidRPr="00B66D49">
        <w:rPr>
          <w:rFonts w:ascii="Times New Roman" w:hAnsi="Times New Roman" w:cs="Times New Roman"/>
          <w:sz w:val="24"/>
          <w:szCs w:val="24"/>
        </w:rPr>
        <w:t>спецрежим</w:t>
      </w:r>
      <w:proofErr w:type="spellEnd"/>
      <w:r w:rsidRPr="00B66D49">
        <w:rPr>
          <w:rFonts w:ascii="Times New Roman" w:hAnsi="Times New Roman" w:cs="Times New Roman"/>
          <w:sz w:val="24"/>
          <w:szCs w:val="24"/>
        </w:rPr>
        <w:t xml:space="preserve"> и ОСНО) допускалось применение накопителя со сроком действия не менее 13 месяцев. После принятия комментируемых поправок, этим же пользователям разрешено применять фискальные накопители сроком действия менее 36, но не менее 13 месяцев. Мы видим, что в данный промежуток попадают накопители со сроком 15 месяцев.</w:t>
      </w:r>
    </w:p>
    <w:p w:rsidR="004759AA" w:rsidRPr="00B66D49" w:rsidRDefault="004759AA" w:rsidP="004759AA">
      <w:pPr>
        <w:ind w:firstLine="709"/>
        <w:jc w:val="both"/>
        <w:rPr>
          <w:rFonts w:ascii="Times New Roman" w:hAnsi="Times New Roman" w:cs="Times New Roman"/>
          <w:sz w:val="24"/>
          <w:szCs w:val="24"/>
        </w:rPr>
      </w:pPr>
      <w:bookmarkStart w:id="7" w:name="obrabotka-fiskalnyh-dannyh"/>
      <w:bookmarkEnd w:id="7"/>
      <w:r w:rsidRPr="00B66D49">
        <w:rPr>
          <w:rFonts w:ascii="Times New Roman" w:hAnsi="Times New Roman" w:cs="Times New Roman"/>
          <w:sz w:val="24"/>
          <w:szCs w:val="24"/>
        </w:rPr>
        <w:t>Раньше оператор фискальных данных (ОФД) мог обрабатывать фискальные данные в статистических или иных исследовательских целях. Но для этого ему следовало в обязательном порядке эти данные обезличить.</w:t>
      </w:r>
    </w:p>
    <w:p w:rsidR="004759AA" w:rsidRPr="00B66D49" w:rsidRDefault="004759AA" w:rsidP="004759AA">
      <w:pPr>
        <w:ind w:firstLine="709"/>
        <w:jc w:val="both"/>
        <w:rPr>
          <w:rFonts w:ascii="Times New Roman" w:hAnsi="Times New Roman" w:cs="Times New Roman"/>
          <w:sz w:val="24"/>
          <w:szCs w:val="24"/>
        </w:rPr>
      </w:pPr>
      <w:r w:rsidRPr="00B66D49">
        <w:rPr>
          <w:rFonts w:ascii="Times New Roman" w:hAnsi="Times New Roman" w:cs="Times New Roman"/>
          <w:sz w:val="24"/>
          <w:szCs w:val="24"/>
        </w:rPr>
        <w:t>Благодаря поправкам, внесенным в пункт 9 статьи 4.1 Закона № 54-ФЗ, полномочия ОФД расширились. Отныне по поручению и в интересах клиента он вправе обрабатывать фискальные данные, не обезличивая их. Единственное, что по-прежнему нужно обезличивать — это персональные данные покупателей и клиентов.</w:t>
      </w:r>
    </w:p>
    <w:p w:rsidR="004759AA" w:rsidRDefault="004759AA" w:rsidP="004759AA">
      <w:pPr>
        <w:ind w:firstLine="709"/>
        <w:jc w:val="both"/>
        <w:rPr>
          <w:rFonts w:ascii="Times New Roman" w:hAnsi="Times New Roman" w:cs="Times New Roman"/>
          <w:bCs/>
          <w:sz w:val="24"/>
          <w:szCs w:val="24"/>
        </w:rPr>
      </w:pPr>
      <w:r w:rsidRPr="00B66D49">
        <w:rPr>
          <w:rFonts w:ascii="Times New Roman" w:hAnsi="Times New Roman" w:cs="Times New Roman"/>
          <w:bCs/>
          <w:sz w:val="24"/>
          <w:szCs w:val="24"/>
        </w:rPr>
        <w:t>Еще ряд изменений, внесенных Законом от 03.07.2018 № 192-ФЗ:</w:t>
      </w:r>
    </w:p>
    <w:p w:rsidR="004759AA" w:rsidRPr="00B66D49" w:rsidRDefault="004759AA" w:rsidP="004759AA">
      <w:pPr>
        <w:ind w:firstLine="709"/>
        <w:jc w:val="both"/>
        <w:rPr>
          <w:rFonts w:ascii="Times New Roman" w:hAnsi="Times New Roman" w:cs="Times New Roman"/>
          <w:sz w:val="24"/>
          <w:szCs w:val="24"/>
        </w:rPr>
      </w:pPr>
      <w:bookmarkStart w:id="8" w:name="_GoBack"/>
      <w:bookmarkEnd w:id="8"/>
    </w:p>
    <w:tbl>
      <w:tblPr>
        <w:tblW w:w="9642" w:type="dxa"/>
        <w:shd w:val="clear" w:color="auto" w:fill="FFFFFF"/>
        <w:tblCellMar>
          <w:top w:w="105" w:type="dxa"/>
          <w:left w:w="105" w:type="dxa"/>
          <w:bottom w:w="105" w:type="dxa"/>
          <w:right w:w="105" w:type="dxa"/>
        </w:tblCellMar>
        <w:tblLook w:val="04A0" w:firstRow="1" w:lastRow="0" w:firstColumn="1" w:lastColumn="0" w:noHBand="0" w:noVBand="1"/>
      </w:tblPr>
      <w:tblGrid>
        <w:gridCol w:w="7091"/>
        <w:gridCol w:w="2551"/>
      </w:tblGrid>
      <w:tr w:rsidR="004759AA" w:rsidRPr="00B66D49" w:rsidTr="002C2A66">
        <w:trPr>
          <w:trHeight w:val="336"/>
          <w:tblHeader/>
        </w:trPr>
        <w:tc>
          <w:tcPr>
            <w:tcW w:w="7091" w:type="dxa"/>
            <w:tcBorders>
              <w:top w:val="single" w:sz="2" w:space="0" w:color="DFDFDF"/>
              <w:left w:val="single" w:sz="2" w:space="0" w:color="DFDFDF"/>
              <w:bottom w:val="single" w:sz="12" w:space="0" w:color="0769D4"/>
              <w:right w:val="single" w:sz="6" w:space="0" w:color="EEEEEE"/>
            </w:tcBorders>
            <w:shd w:val="clear" w:color="auto" w:fill="FFFFFF"/>
            <w:tcMar>
              <w:top w:w="0" w:type="dxa"/>
              <w:left w:w="0" w:type="dxa"/>
              <w:bottom w:w="225" w:type="dxa"/>
              <w:right w:w="225" w:type="dxa"/>
            </w:tcMar>
            <w:hideMark/>
          </w:tcPr>
          <w:p w:rsidR="004759AA" w:rsidRPr="00B66D49" w:rsidRDefault="004759AA" w:rsidP="002C2A66">
            <w:pPr>
              <w:rPr>
                <w:rFonts w:ascii="Times New Roman" w:hAnsi="Times New Roman" w:cs="Times New Roman"/>
                <w:sz w:val="24"/>
                <w:szCs w:val="24"/>
              </w:rPr>
            </w:pPr>
            <w:r w:rsidRPr="00B66D49">
              <w:rPr>
                <w:rFonts w:ascii="Times New Roman" w:hAnsi="Times New Roman" w:cs="Times New Roman"/>
                <w:b/>
                <w:bCs/>
                <w:sz w:val="24"/>
                <w:szCs w:val="24"/>
              </w:rPr>
              <w:lastRenderedPageBreak/>
              <w:t>Суть поправки</w:t>
            </w:r>
          </w:p>
        </w:tc>
        <w:tc>
          <w:tcPr>
            <w:tcW w:w="2551" w:type="dxa"/>
            <w:tcBorders>
              <w:top w:val="single" w:sz="2" w:space="0" w:color="DFDFDF"/>
              <w:left w:val="single" w:sz="2" w:space="0" w:color="DFDFDF"/>
              <w:bottom w:val="single" w:sz="12" w:space="0" w:color="0769D4"/>
              <w:right w:val="single" w:sz="6" w:space="0" w:color="C2CAD0"/>
            </w:tcBorders>
            <w:shd w:val="clear" w:color="auto" w:fill="FFFFFF"/>
            <w:tcMar>
              <w:top w:w="0" w:type="dxa"/>
              <w:left w:w="225" w:type="dxa"/>
              <w:bottom w:w="225" w:type="dxa"/>
              <w:right w:w="225" w:type="dxa"/>
            </w:tcMar>
            <w:hideMark/>
          </w:tcPr>
          <w:p w:rsidR="004759AA" w:rsidRPr="00B66D49" w:rsidRDefault="004759AA" w:rsidP="002C2A66">
            <w:pPr>
              <w:rPr>
                <w:rFonts w:ascii="Times New Roman" w:hAnsi="Times New Roman" w:cs="Times New Roman"/>
                <w:sz w:val="24"/>
                <w:szCs w:val="24"/>
              </w:rPr>
            </w:pPr>
            <w:r w:rsidRPr="00B66D49">
              <w:rPr>
                <w:rFonts w:ascii="Times New Roman" w:hAnsi="Times New Roman" w:cs="Times New Roman"/>
                <w:b/>
                <w:bCs/>
                <w:sz w:val="24"/>
                <w:szCs w:val="24"/>
              </w:rPr>
              <w:t>Соответствующая норма Закона № 54-ФЗ</w:t>
            </w:r>
          </w:p>
        </w:tc>
      </w:tr>
      <w:tr w:rsidR="004759AA" w:rsidRPr="00B66D49" w:rsidTr="002C2A66">
        <w:trPr>
          <w:trHeight w:val="336"/>
        </w:trPr>
        <w:tc>
          <w:tcPr>
            <w:tcW w:w="7091" w:type="dxa"/>
            <w:tcBorders>
              <w:top w:val="single" w:sz="2" w:space="0" w:color="DFDFDF"/>
              <w:left w:val="single" w:sz="2" w:space="0" w:color="DFDFDF"/>
              <w:bottom w:val="single" w:sz="6" w:space="0" w:color="DFDFDF"/>
              <w:right w:val="single" w:sz="6" w:space="0" w:color="DFDFDF"/>
            </w:tcBorders>
            <w:shd w:val="clear" w:color="auto" w:fill="FFFFFF"/>
            <w:tcMar>
              <w:top w:w="225" w:type="dxa"/>
              <w:left w:w="0" w:type="dxa"/>
              <w:bottom w:w="225" w:type="dxa"/>
              <w:right w:w="225" w:type="dxa"/>
            </w:tcMar>
            <w:hideMark/>
          </w:tcPr>
          <w:p w:rsidR="004759AA" w:rsidRPr="00B66D49" w:rsidRDefault="004759AA" w:rsidP="002C2A66">
            <w:pPr>
              <w:rPr>
                <w:rFonts w:ascii="Times New Roman" w:hAnsi="Times New Roman" w:cs="Times New Roman"/>
                <w:sz w:val="24"/>
                <w:szCs w:val="24"/>
              </w:rPr>
            </w:pPr>
            <w:r w:rsidRPr="00B66D49">
              <w:rPr>
                <w:rFonts w:ascii="Times New Roman" w:hAnsi="Times New Roman" w:cs="Times New Roman"/>
                <w:sz w:val="24"/>
                <w:szCs w:val="24"/>
              </w:rPr>
              <w:t>Появилось новое основание для формирования отчета об изменении параметров регистрации — указание неверных сведений при формировании отчета о регистрации</w:t>
            </w:r>
          </w:p>
        </w:tc>
        <w:tc>
          <w:tcPr>
            <w:tcW w:w="2551" w:type="dxa"/>
            <w:tcBorders>
              <w:top w:val="single" w:sz="2" w:space="0" w:color="DFDFDF"/>
              <w:left w:val="single" w:sz="2" w:space="0" w:color="DFDFDF"/>
              <w:bottom w:val="single" w:sz="6" w:space="0" w:color="DFDFDF"/>
              <w:right w:val="single" w:sz="6" w:space="0" w:color="DFDFDF"/>
            </w:tcBorders>
            <w:shd w:val="clear" w:color="auto" w:fill="FFFFFF"/>
            <w:tcMar>
              <w:top w:w="225" w:type="dxa"/>
              <w:left w:w="225" w:type="dxa"/>
              <w:bottom w:w="225" w:type="dxa"/>
              <w:right w:w="225" w:type="dxa"/>
            </w:tcMar>
            <w:hideMark/>
          </w:tcPr>
          <w:p w:rsidR="004759AA" w:rsidRPr="00B66D49" w:rsidRDefault="004759AA" w:rsidP="002C2A66">
            <w:pPr>
              <w:rPr>
                <w:rFonts w:ascii="Times New Roman" w:hAnsi="Times New Roman" w:cs="Times New Roman"/>
                <w:sz w:val="24"/>
                <w:szCs w:val="24"/>
              </w:rPr>
            </w:pPr>
            <w:r w:rsidRPr="00B66D49">
              <w:rPr>
                <w:rFonts w:ascii="Times New Roman" w:hAnsi="Times New Roman" w:cs="Times New Roman"/>
                <w:sz w:val="24"/>
                <w:szCs w:val="24"/>
              </w:rPr>
              <w:t>п. 3 ст. 4.2 в новой редакции</w:t>
            </w:r>
          </w:p>
        </w:tc>
      </w:tr>
      <w:tr w:rsidR="004759AA" w:rsidRPr="00B66D49" w:rsidTr="002C2A66">
        <w:trPr>
          <w:trHeight w:val="336"/>
        </w:trPr>
        <w:tc>
          <w:tcPr>
            <w:tcW w:w="7091" w:type="dxa"/>
            <w:tcBorders>
              <w:top w:val="single" w:sz="2" w:space="0" w:color="DFDFDF"/>
              <w:left w:val="single" w:sz="2" w:space="0" w:color="DFDFDF"/>
              <w:bottom w:val="single" w:sz="6" w:space="0" w:color="DFDFDF"/>
              <w:right w:val="single" w:sz="6" w:space="0" w:color="DFDFDF"/>
            </w:tcBorders>
            <w:shd w:val="clear" w:color="auto" w:fill="FFFFFF"/>
            <w:tcMar>
              <w:top w:w="225" w:type="dxa"/>
              <w:left w:w="0" w:type="dxa"/>
              <w:bottom w:w="225" w:type="dxa"/>
              <w:right w:w="225" w:type="dxa"/>
            </w:tcMar>
            <w:hideMark/>
          </w:tcPr>
          <w:p w:rsidR="004759AA" w:rsidRPr="00B66D49" w:rsidRDefault="004759AA" w:rsidP="002C2A66">
            <w:pPr>
              <w:rPr>
                <w:rFonts w:ascii="Times New Roman" w:hAnsi="Times New Roman" w:cs="Times New Roman"/>
                <w:sz w:val="24"/>
                <w:szCs w:val="24"/>
              </w:rPr>
            </w:pPr>
            <w:r w:rsidRPr="00B66D49">
              <w:rPr>
                <w:rFonts w:ascii="Times New Roman" w:hAnsi="Times New Roman" w:cs="Times New Roman"/>
                <w:sz w:val="24"/>
                <w:szCs w:val="24"/>
              </w:rPr>
              <w:t>Увеличен срок, в течение которого инспекция должна выдать или направить карточку регистрации ККТ: было 5 рабочих дней, стало 10 рабочих дней</w:t>
            </w:r>
          </w:p>
        </w:tc>
        <w:tc>
          <w:tcPr>
            <w:tcW w:w="2551" w:type="dxa"/>
            <w:tcBorders>
              <w:top w:val="single" w:sz="2" w:space="0" w:color="DFDFDF"/>
              <w:left w:val="single" w:sz="2" w:space="0" w:color="DFDFDF"/>
              <w:bottom w:val="single" w:sz="6" w:space="0" w:color="DFDFDF"/>
              <w:right w:val="single" w:sz="6" w:space="0" w:color="DFDFDF"/>
            </w:tcBorders>
            <w:shd w:val="clear" w:color="auto" w:fill="FFFFFF"/>
            <w:tcMar>
              <w:top w:w="225" w:type="dxa"/>
              <w:left w:w="225" w:type="dxa"/>
              <w:bottom w:w="225" w:type="dxa"/>
              <w:right w:w="225" w:type="dxa"/>
            </w:tcMar>
            <w:hideMark/>
          </w:tcPr>
          <w:p w:rsidR="004759AA" w:rsidRPr="00B66D49" w:rsidRDefault="004759AA" w:rsidP="002C2A66">
            <w:pPr>
              <w:rPr>
                <w:rFonts w:ascii="Times New Roman" w:hAnsi="Times New Roman" w:cs="Times New Roman"/>
                <w:sz w:val="24"/>
                <w:szCs w:val="24"/>
              </w:rPr>
            </w:pPr>
            <w:r w:rsidRPr="00B66D49">
              <w:rPr>
                <w:rFonts w:ascii="Times New Roman" w:hAnsi="Times New Roman" w:cs="Times New Roman"/>
                <w:sz w:val="24"/>
                <w:szCs w:val="24"/>
              </w:rPr>
              <w:t>п. 7 ст. 4.2 в новой редакции</w:t>
            </w:r>
          </w:p>
        </w:tc>
      </w:tr>
      <w:tr w:rsidR="004759AA" w:rsidRPr="00B66D49" w:rsidTr="002C2A66">
        <w:trPr>
          <w:trHeight w:val="336"/>
        </w:trPr>
        <w:tc>
          <w:tcPr>
            <w:tcW w:w="7091" w:type="dxa"/>
            <w:tcBorders>
              <w:top w:val="single" w:sz="2" w:space="0" w:color="DFDFDF"/>
              <w:left w:val="single" w:sz="2" w:space="0" w:color="DFDFDF"/>
              <w:bottom w:val="single" w:sz="6" w:space="0" w:color="DFDFDF"/>
              <w:right w:val="single" w:sz="6" w:space="0" w:color="DFDFDF"/>
            </w:tcBorders>
            <w:shd w:val="clear" w:color="auto" w:fill="FFFFFF"/>
            <w:tcMar>
              <w:top w:w="225" w:type="dxa"/>
              <w:left w:w="0" w:type="dxa"/>
              <w:bottom w:w="225" w:type="dxa"/>
              <w:right w:w="225" w:type="dxa"/>
            </w:tcMar>
            <w:hideMark/>
          </w:tcPr>
          <w:p w:rsidR="004759AA" w:rsidRPr="00B66D49" w:rsidRDefault="004759AA" w:rsidP="002C2A66">
            <w:pPr>
              <w:rPr>
                <w:rFonts w:ascii="Times New Roman" w:hAnsi="Times New Roman" w:cs="Times New Roman"/>
                <w:sz w:val="24"/>
                <w:szCs w:val="24"/>
              </w:rPr>
            </w:pPr>
            <w:r w:rsidRPr="00B66D49">
              <w:rPr>
                <w:rFonts w:ascii="Times New Roman" w:hAnsi="Times New Roman" w:cs="Times New Roman"/>
                <w:sz w:val="24"/>
                <w:szCs w:val="24"/>
              </w:rPr>
              <w:t>Инспекциям разрешено снимать ККТ с учета без заявления пользователя в случае исключения его из ЕГРЮЛ или ЕГРИП</w:t>
            </w:r>
          </w:p>
        </w:tc>
        <w:tc>
          <w:tcPr>
            <w:tcW w:w="2551" w:type="dxa"/>
            <w:tcBorders>
              <w:top w:val="single" w:sz="2" w:space="0" w:color="DFDFDF"/>
              <w:left w:val="single" w:sz="2" w:space="0" w:color="DFDFDF"/>
              <w:bottom w:val="single" w:sz="6" w:space="0" w:color="DFDFDF"/>
              <w:right w:val="single" w:sz="6" w:space="0" w:color="DFDFDF"/>
            </w:tcBorders>
            <w:shd w:val="clear" w:color="auto" w:fill="FFFFFF"/>
            <w:tcMar>
              <w:top w:w="225" w:type="dxa"/>
              <w:left w:w="225" w:type="dxa"/>
              <w:bottom w:w="225" w:type="dxa"/>
              <w:right w:w="225" w:type="dxa"/>
            </w:tcMar>
            <w:hideMark/>
          </w:tcPr>
          <w:p w:rsidR="004759AA" w:rsidRPr="00B66D49" w:rsidRDefault="004759AA" w:rsidP="002C2A66">
            <w:pPr>
              <w:rPr>
                <w:rFonts w:ascii="Times New Roman" w:hAnsi="Times New Roman" w:cs="Times New Roman"/>
                <w:sz w:val="24"/>
                <w:szCs w:val="24"/>
              </w:rPr>
            </w:pPr>
            <w:r w:rsidRPr="00B66D49">
              <w:rPr>
                <w:rFonts w:ascii="Times New Roman" w:hAnsi="Times New Roman" w:cs="Times New Roman"/>
                <w:sz w:val="24"/>
                <w:szCs w:val="24"/>
              </w:rPr>
              <w:t>новый п. 18 ст. 4.2</w:t>
            </w:r>
          </w:p>
        </w:tc>
      </w:tr>
      <w:tr w:rsidR="004759AA" w:rsidRPr="00B66D49" w:rsidTr="002C2A66">
        <w:trPr>
          <w:trHeight w:val="336"/>
        </w:trPr>
        <w:tc>
          <w:tcPr>
            <w:tcW w:w="7091" w:type="dxa"/>
            <w:tcBorders>
              <w:top w:val="single" w:sz="2" w:space="0" w:color="DFDFDF"/>
              <w:left w:val="single" w:sz="2" w:space="0" w:color="DFDFDF"/>
              <w:bottom w:val="single" w:sz="6" w:space="0" w:color="DFDFDF"/>
              <w:right w:val="single" w:sz="6" w:space="0" w:color="DFDFDF"/>
            </w:tcBorders>
            <w:shd w:val="clear" w:color="auto" w:fill="FFFFFF"/>
            <w:tcMar>
              <w:top w:w="225" w:type="dxa"/>
              <w:left w:w="0" w:type="dxa"/>
              <w:bottom w:w="225" w:type="dxa"/>
              <w:right w:w="225" w:type="dxa"/>
            </w:tcMar>
            <w:hideMark/>
          </w:tcPr>
          <w:p w:rsidR="004759AA" w:rsidRPr="00B66D49" w:rsidRDefault="004759AA" w:rsidP="002C2A66">
            <w:pPr>
              <w:rPr>
                <w:rFonts w:ascii="Times New Roman" w:hAnsi="Times New Roman" w:cs="Times New Roman"/>
                <w:sz w:val="24"/>
                <w:szCs w:val="24"/>
              </w:rPr>
            </w:pPr>
            <w:r w:rsidRPr="00B66D49">
              <w:rPr>
                <w:rFonts w:ascii="Times New Roman" w:hAnsi="Times New Roman" w:cs="Times New Roman"/>
                <w:sz w:val="24"/>
                <w:szCs w:val="24"/>
              </w:rPr>
              <w:t>Разрешено не передавать в ИФНС сведения из отчета о закрытии фискального накопителя, если ККТ была похищена или сломана, из-за чего фискальные данные считать невозможно. Сломанный накопитель следует сдать изготовителю для экспертизы, а также написать заявление о перерегистрации ККТ</w:t>
            </w:r>
          </w:p>
        </w:tc>
        <w:tc>
          <w:tcPr>
            <w:tcW w:w="2551" w:type="dxa"/>
            <w:tcBorders>
              <w:top w:val="single" w:sz="2" w:space="0" w:color="DFDFDF"/>
              <w:left w:val="single" w:sz="2" w:space="0" w:color="DFDFDF"/>
              <w:bottom w:val="single" w:sz="6" w:space="0" w:color="DFDFDF"/>
              <w:right w:val="single" w:sz="6" w:space="0" w:color="DFDFDF"/>
            </w:tcBorders>
            <w:shd w:val="clear" w:color="auto" w:fill="FFFFFF"/>
            <w:tcMar>
              <w:top w:w="225" w:type="dxa"/>
              <w:left w:w="225" w:type="dxa"/>
              <w:bottom w:w="225" w:type="dxa"/>
              <w:right w:w="225" w:type="dxa"/>
            </w:tcMar>
            <w:hideMark/>
          </w:tcPr>
          <w:p w:rsidR="004759AA" w:rsidRPr="00B66D49" w:rsidRDefault="004759AA" w:rsidP="002C2A66">
            <w:pPr>
              <w:rPr>
                <w:rFonts w:ascii="Times New Roman" w:hAnsi="Times New Roman" w:cs="Times New Roman"/>
                <w:sz w:val="24"/>
                <w:szCs w:val="24"/>
              </w:rPr>
            </w:pPr>
            <w:r w:rsidRPr="00B66D49">
              <w:rPr>
                <w:rFonts w:ascii="Times New Roman" w:hAnsi="Times New Roman" w:cs="Times New Roman"/>
                <w:sz w:val="24"/>
                <w:szCs w:val="24"/>
              </w:rPr>
              <w:t xml:space="preserve">п. 8 ст. 4.2 в новой редакции; </w:t>
            </w:r>
            <w:proofErr w:type="gramStart"/>
            <w:r w:rsidRPr="00B66D49">
              <w:rPr>
                <w:rFonts w:ascii="Times New Roman" w:hAnsi="Times New Roman" w:cs="Times New Roman"/>
                <w:sz w:val="24"/>
                <w:szCs w:val="24"/>
              </w:rPr>
              <w:t>новый</w:t>
            </w:r>
            <w:proofErr w:type="gramEnd"/>
            <w:r w:rsidRPr="00B66D49">
              <w:rPr>
                <w:rFonts w:ascii="Times New Roman" w:hAnsi="Times New Roman" w:cs="Times New Roman"/>
                <w:sz w:val="24"/>
                <w:szCs w:val="24"/>
              </w:rPr>
              <w:t xml:space="preserve"> п. 8.1 ст. 4.2</w:t>
            </w:r>
          </w:p>
        </w:tc>
      </w:tr>
      <w:tr w:rsidR="004759AA" w:rsidRPr="00B66D49" w:rsidTr="002C2A66">
        <w:trPr>
          <w:trHeight w:val="336"/>
        </w:trPr>
        <w:tc>
          <w:tcPr>
            <w:tcW w:w="7091" w:type="dxa"/>
            <w:tcBorders>
              <w:top w:val="single" w:sz="2" w:space="0" w:color="DFDFDF"/>
              <w:left w:val="single" w:sz="2" w:space="0" w:color="DFDFDF"/>
              <w:bottom w:val="single" w:sz="6" w:space="0" w:color="DFDFDF"/>
              <w:right w:val="single" w:sz="6" w:space="0" w:color="DFDFDF"/>
            </w:tcBorders>
            <w:shd w:val="clear" w:color="auto" w:fill="FFFFFF"/>
            <w:tcMar>
              <w:top w:w="225" w:type="dxa"/>
              <w:left w:w="0" w:type="dxa"/>
              <w:bottom w:w="225" w:type="dxa"/>
              <w:right w:w="225" w:type="dxa"/>
            </w:tcMar>
            <w:hideMark/>
          </w:tcPr>
          <w:p w:rsidR="004759AA" w:rsidRPr="00B66D49" w:rsidRDefault="004759AA" w:rsidP="002C2A66">
            <w:pPr>
              <w:rPr>
                <w:rFonts w:ascii="Times New Roman" w:hAnsi="Times New Roman" w:cs="Times New Roman"/>
                <w:sz w:val="24"/>
                <w:szCs w:val="24"/>
              </w:rPr>
            </w:pPr>
            <w:r w:rsidRPr="00B66D49">
              <w:rPr>
                <w:rFonts w:ascii="Times New Roman" w:hAnsi="Times New Roman" w:cs="Times New Roman"/>
                <w:sz w:val="24"/>
                <w:szCs w:val="24"/>
              </w:rPr>
              <w:t>Уточнено, что кассовый чек коррекции и БСО коррекции оформляется, если ранее пользователь вообще не использовал ККТ, либо использовал с нарушениями</w:t>
            </w:r>
          </w:p>
        </w:tc>
        <w:tc>
          <w:tcPr>
            <w:tcW w:w="2551" w:type="dxa"/>
            <w:tcBorders>
              <w:top w:val="single" w:sz="2" w:space="0" w:color="DFDFDF"/>
              <w:left w:val="single" w:sz="2" w:space="0" w:color="DFDFDF"/>
              <w:bottom w:val="single" w:sz="6" w:space="0" w:color="DFDFDF"/>
              <w:right w:val="single" w:sz="6" w:space="0" w:color="DFDFDF"/>
            </w:tcBorders>
            <w:shd w:val="clear" w:color="auto" w:fill="FFFFFF"/>
            <w:tcMar>
              <w:top w:w="225" w:type="dxa"/>
              <w:left w:w="225" w:type="dxa"/>
              <w:bottom w:w="225" w:type="dxa"/>
              <w:right w:w="225" w:type="dxa"/>
            </w:tcMar>
            <w:hideMark/>
          </w:tcPr>
          <w:p w:rsidR="004759AA" w:rsidRPr="00B66D49" w:rsidRDefault="004759AA" w:rsidP="002C2A66">
            <w:pPr>
              <w:rPr>
                <w:rFonts w:ascii="Times New Roman" w:hAnsi="Times New Roman" w:cs="Times New Roman"/>
                <w:sz w:val="24"/>
                <w:szCs w:val="24"/>
              </w:rPr>
            </w:pPr>
            <w:r w:rsidRPr="00B66D49">
              <w:rPr>
                <w:rFonts w:ascii="Times New Roman" w:hAnsi="Times New Roman" w:cs="Times New Roman"/>
                <w:sz w:val="24"/>
                <w:szCs w:val="24"/>
              </w:rPr>
              <w:t>п. 4 ст. 4.3 в новой редакции</w:t>
            </w:r>
          </w:p>
        </w:tc>
      </w:tr>
      <w:tr w:rsidR="004759AA" w:rsidRPr="00B66D49" w:rsidTr="002C2A66">
        <w:trPr>
          <w:trHeight w:val="336"/>
        </w:trPr>
        <w:tc>
          <w:tcPr>
            <w:tcW w:w="7091" w:type="dxa"/>
            <w:tcBorders>
              <w:top w:val="single" w:sz="2" w:space="0" w:color="DFDFDF"/>
              <w:left w:val="single" w:sz="2" w:space="0" w:color="DFDFDF"/>
              <w:bottom w:val="single" w:sz="6" w:space="0" w:color="DFDFDF"/>
              <w:right w:val="single" w:sz="6" w:space="0" w:color="DFDFDF"/>
            </w:tcBorders>
            <w:shd w:val="clear" w:color="auto" w:fill="FFFFFF"/>
            <w:tcMar>
              <w:top w:w="225" w:type="dxa"/>
              <w:left w:w="0" w:type="dxa"/>
              <w:bottom w:w="225" w:type="dxa"/>
              <w:right w:w="225" w:type="dxa"/>
            </w:tcMar>
            <w:hideMark/>
          </w:tcPr>
          <w:p w:rsidR="004759AA" w:rsidRPr="00B66D49" w:rsidRDefault="004759AA" w:rsidP="002C2A66">
            <w:pPr>
              <w:rPr>
                <w:rFonts w:ascii="Times New Roman" w:hAnsi="Times New Roman" w:cs="Times New Roman"/>
                <w:sz w:val="24"/>
                <w:szCs w:val="24"/>
              </w:rPr>
            </w:pPr>
            <w:r w:rsidRPr="00B66D49">
              <w:rPr>
                <w:rFonts w:ascii="Times New Roman" w:hAnsi="Times New Roman" w:cs="Times New Roman"/>
                <w:sz w:val="24"/>
                <w:szCs w:val="24"/>
              </w:rPr>
              <w:t>Установлено, что при перерегистрации ККТ в связи с заменой фискального накопителя передача в ИФНС считанных фискальных данных осуществляется строго в электронной форме (ранее допускалось и на бумаге)</w:t>
            </w:r>
          </w:p>
        </w:tc>
        <w:tc>
          <w:tcPr>
            <w:tcW w:w="2551" w:type="dxa"/>
            <w:tcBorders>
              <w:top w:val="single" w:sz="2" w:space="0" w:color="DFDFDF"/>
              <w:left w:val="single" w:sz="2" w:space="0" w:color="DFDFDF"/>
              <w:bottom w:val="single" w:sz="6" w:space="0" w:color="DFDFDF"/>
              <w:right w:val="single" w:sz="6" w:space="0" w:color="DFDFDF"/>
            </w:tcBorders>
            <w:shd w:val="clear" w:color="auto" w:fill="FFFFFF"/>
            <w:tcMar>
              <w:top w:w="225" w:type="dxa"/>
              <w:left w:w="225" w:type="dxa"/>
              <w:bottom w:w="225" w:type="dxa"/>
              <w:right w:w="225" w:type="dxa"/>
            </w:tcMar>
            <w:hideMark/>
          </w:tcPr>
          <w:p w:rsidR="004759AA" w:rsidRPr="00B66D49" w:rsidRDefault="004759AA" w:rsidP="002C2A66">
            <w:pPr>
              <w:rPr>
                <w:rFonts w:ascii="Times New Roman" w:hAnsi="Times New Roman" w:cs="Times New Roman"/>
                <w:sz w:val="24"/>
                <w:szCs w:val="24"/>
              </w:rPr>
            </w:pPr>
            <w:r w:rsidRPr="00B66D49">
              <w:rPr>
                <w:rFonts w:ascii="Times New Roman" w:hAnsi="Times New Roman" w:cs="Times New Roman"/>
                <w:sz w:val="24"/>
                <w:szCs w:val="24"/>
              </w:rPr>
              <w:t>п. 14 ст. 4.2 в новой редакции</w:t>
            </w:r>
          </w:p>
        </w:tc>
      </w:tr>
      <w:tr w:rsidR="004759AA" w:rsidRPr="00B66D49" w:rsidTr="002C2A66">
        <w:trPr>
          <w:trHeight w:val="336"/>
        </w:trPr>
        <w:tc>
          <w:tcPr>
            <w:tcW w:w="7091" w:type="dxa"/>
            <w:tcBorders>
              <w:top w:val="single" w:sz="2" w:space="0" w:color="DFDFDF"/>
              <w:left w:val="single" w:sz="2" w:space="0" w:color="DFDFDF"/>
              <w:bottom w:val="single" w:sz="6" w:space="0" w:color="DFDFDF"/>
              <w:right w:val="single" w:sz="6" w:space="0" w:color="DFDFDF"/>
            </w:tcBorders>
            <w:shd w:val="clear" w:color="auto" w:fill="FFFFFF"/>
            <w:tcMar>
              <w:top w:w="225" w:type="dxa"/>
              <w:left w:w="0" w:type="dxa"/>
              <w:bottom w:w="225" w:type="dxa"/>
              <w:right w:w="225" w:type="dxa"/>
            </w:tcMar>
            <w:hideMark/>
          </w:tcPr>
          <w:p w:rsidR="004759AA" w:rsidRPr="00B66D49" w:rsidRDefault="004759AA" w:rsidP="002C2A66">
            <w:pPr>
              <w:rPr>
                <w:rFonts w:ascii="Times New Roman" w:hAnsi="Times New Roman" w:cs="Times New Roman"/>
                <w:sz w:val="24"/>
                <w:szCs w:val="24"/>
              </w:rPr>
            </w:pPr>
            <w:r w:rsidRPr="00B66D49">
              <w:rPr>
                <w:rFonts w:ascii="Times New Roman" w:hAnsi="Times New Roman" w:cs="Times New Roman"/>
                <w:sz w:val="24"/>
                <w:szCs w:val="24"/>
              </w:rPr>
              <w:t>Инспекциям разрешено снимать ККТ с учета без заявления пользователя в случае, когда третьи лица проинформировали ИФНС о несоответствии кассы требованиям закона</w:t>
            </w:r>
          </w:p>
        </w:tc>
        <w:tc>
          <w:tcPr>
            <w:tcW w:w="2551" w:type="dxa"/>
            <w:tcBorders>
              <w:top w:val="single" w:sz="2" w:space="0" w:color="DFDFDF"/>
              <w:left w:val="single" w:sz="2" w:space="0" w:color="DFDFDF"/>
              <w:bottom w:val="single" w:sz="6" w:space="0" w:color="DFDFDF"/>
              <w:right w:val="single" w:sz="6" w:space="0" w:color="DFDFDF"/>
            </w:tcBorders>
            <w:shd w:val="clear" w:color="auto" w:fill="FFFFFF"/>
            <w:tcMar>
              <w:top w:w="225" w:type="dxa"/>
              <w:left w:w="225" w:type="dxa"/>
              <w:bottom w:w="225" w:type="dxa"/>
              <w:right w:w="225" w:type="dxa"/>
            </w:tcMar>
            <w:hideMark/>
          </w:tcPr>
          <w:p w:rsidR="004759AA" w:rsidRPr="00B66D49" w:rsidRDefault="004759AA" w:rsidP="002C2A66">
            <w:pPr>
              <w:rPr>
                <w:rFonts w:ascii="Times New Roman" w:hAnsi="Times New Roman" w:cs="Times New Roman"/>
                <w:sz w:val="24"/>
                <w:szCs w:val="24"/>
              </w:rPr>
            </w:pPr>
            <w:r w:rsidRPr="00B66D49">
              <w:rPr>
                <w:rFonts w:ascii="Times New Roman" w:hAnsi="Times New Roman" w:cs="Times New Roman"/>
                <w:sz w:val="24"/>
                <w:szCs w:val="24"/>
              </w:rPr>
              <w:t>п. 15 ст. 4.2 в новой редакции</w:t>
            </w:r>
          </w:p>
        </w:tc>
      </w:tr>
      <w:tr w:rsidR="004759AA" w:rsidRPr="00B66D49" w:rsidTr="002C2A66">
        <w:trPr>
          <w:trHeight w:val="336"/>
        </w:trPr>
        <w:tc>
          <w:tcPr>
            <w:tcW w:w="7091" w:type="dxa"/>
            <w:tcBorders>
              <w:top w:val="single" w:sz="2" w:space="0" w:color="DFDFDF"/>
              <w:left w:val="single" w:sz="2" w:space="0" w:color="DFDFDF"/>
              <w:bottom w:val="single" w:sz="6" w:space="0" w:color="DFDFDF"/>
              <w:right w:val="single" w:sz="6" w:space="0" w:color="DFDFDF"/>
            </w:tcBorders>
            <w:shd w:val="clear" w:color="auto" w:fill="FFFFFF"/>
            <w:tcMar>
              <w:top w:w="225" w:type="dxa"/>
              <w:left w:w="0" w:type="dxa"/>
              <w:bottom w:w="225" w:type="dxa"/>
              <w:right w:w="225" w:type="dxa"/>
            </w:tcMar>
            <w:hideMark/>
          </w:tcPr>
          <w:p w:rsidR="004759AA" w:rsidRPr="00B66D49" w:rsidRDefault="004759AA" w:rsidP="002C2A66">
            <w:pPr>
              <w:rPr>
                <w:rFonts w:ascii="Times New Roman" w:hAnsi="Times New Roman" w:cs="Times New Roman"/>
                <w:sz w:val="24"/>
                <w:szCs w:val="24"/>
              </w:rPr>
            </w:pPr>
            <w:r w:rsidRPr="00B66D49">
              <w:rPr>
                <w:rFonts w:ascii="Times New Roman" w:hAnsi="Times New Roman" w:cs="Times New Roman"/>
                <w:sz w:val="24"/>
                <w:szCs w:val="24"/>
              </w:rPr>
              <w:t xml:space="preserve">Установлено, когда нужно формировать отчет о закрытии фискального накопителя: строго после передачи с инспекцию </w:t>
            </w:r>
            <w:r w:rsidRPr="00B66D49">
              <w:rPr>
                <w:rFonts w:ascii="Times New Roman" w:hAnsi="Times New Roman" w:cs="Times New Roman"/>
                <w:sz w:val="24"/>
                <w:szCs w:val="24"/>
              </w:rPr>
              <w:lastRenderedPageBreak/>
              <w:t>через ОФД всех фискальных документов, сформированных данным накопителем и получения подтверждения</w:t>
            </w:r>
          </w:p>
        </w:tc>
        <w:tc>
          <w:tcPr>
            <w:tcW w:w="2551" w:type="dxa"/>
            <w:tcBorders>
              <w:top w:val="single" w:sz="2" w:space="0" w:color="DFDFDF"/>
              <w:left w:val="single" w:sz="2" w:space="0" w:color="DFDFDF"/>
              <w:bottom w:val="single" w:sz="6" w:space="0" w:color="DFDFDF"/>
              <w:right w:val="single" w:sz="6" w:space="0" w:color="DFDFDF"/>
            </w:tcBorders>
            <w:shd w:val="clear" w:color="auto" w:fill="FFFFFF"/>
            <w:tcMar>
              <w:top w:w="225" w:type="dxa"/>
              <w:left w:w="225" w:type="dxa"/>
              <w:bottom w:w="225" w:type="dxa"/>
              <w:right w:w="225" w:type="dxa"/>
            </w:tcMar>
            <w:hideMark/>
          </w:tcPr>
          <w:p w:rsidR="004759AA" w:rsidRPr="00B66D49" w:rsidRDefault="004759AA" w:rsidP="002C2A66">
            <w:pPr>
              <w:rPr>
                <w:rFonts w:ascii="Times New Roman" w:hAnsi="Times New Roman" w:cs="Times New Roman"/>
                <w:sz w:val="24"/>
                <w:szCs w:val="24"/>
              </w:rPr>
            </w:pPr>
            <w:r w:rsidRPr="00B66D49">
              <w:rPr>
                <w:rFonts w:ascii="Times New Roman" w:hAnsi="Times New Roman" w:cs="Times New Roman"/>
                <w:sz w:val="24"/>
                <w:szCs w:val="24"/>
              </w:rPr>
              <w:lastRenderedPageBreak/>
              <w:t>новый п. 5.1 ст. 4.3</w:t>
            </w:r>
          </w:p>
        </w:tc>
      </w:tr>
      <w:tr w:rsidR="004759AA" w:rsidRPr="00B66D49" w:rsidTr="002C2A66">
        <w:trPr>
          <w:trHeight w:val="336"/>
        </w:trPr>
        <w:tc>
          <w:tcPr>
            <w:tcW w:w="7091" w:type="dxa"/>
            <w:tcBorders>
              <w:top w:val="single" w:sz="2" w:space="0" w:color="DFDFDF"/>
              <w:left w:val="single" w:sz="2" w:space="0" w:color="DFDFDF"/>
              <w:bottom w:val="single" w:sz="2" w:space="0" w:color="DFDFDF"/>
              <w:right w:val="single" w:sz="6" w:space="0" w:color="DFDFDF"/>
            </w:tcBorders>
            <w:shd w:val="clear" w:color="auto" w:fill="FFFFFF"/>
            <w:tcMar>
              <w:top w:w="225" w:type="dxa"/>
              <w:left w:w="0" w:type="dxa"/>
              <w:bottom w:w="225" w:type="dxa"/>
              <w:right w:w="225" w:type="dxa"/>
            </w:tcMar>
            <w:hideMark/>
          </w:tcPr>
          <w:p w:rsidR="004759AA" w:rsidRPr="00B66D49" w:rsidRDefault="004759AA" w:rsidP="002C2A66">
            <w:pPr>
              <w:rPr>
                <w:rFonts w:ascii="Times New Roman" w:hAnsi="Times New Roman" w:cs="Times New Roman"/>
                <w:sz w:val="24"/>
                <w:szCs w:val="24"/>
              </w:rPr>
            </w:pPr>
            <w:r w:rsidRPr="00B66D49">
              <w:rPr>
                <w:rFonts w:ascii="Times New Roman" w:hAnsi="Times New Roman" w:cs="Times New Roman"/>
                <w:sz w:val="24"/>
                <w:szCs w:val="24"/>
              </w:rPr>
              <w:lastRenderedPageBreak/>
              <w:t>Увеличен срок, в течение которого пользователь должен сдать в ИФНС фискальные данные с накопителя, срок годности которого истек: был месяц, стало 60 календарных дней</w:t>
            </w:r>
          </w:p>
        </w:tc>
        <w:tc>
          <w:tcPr>
            <w:tcW w:w="2551" w:type="dxa"/>
            <w:tcBorders>
              <w:top w:val="single" w:sz="2" w:space="0" w:color="DFDFDF"/>
              <w:left w:val="single" w:sz="2" w:space="0" w:color="DFDFDF"/>
              <w:bottom w:val="single" w:sz="2" w:space="0" w:color="DFDFDF"/>
              <w:right w:val="single" w:sz="6" w:space="0" w:color="DFDFDF"/>
            </w:tcBorders>
            <w:shd w:val="clear" w:color="auto" w:fill="FFFFFF"/>
            <w:tcMar>
              <w:top w:w="225" w:type="dxa"/>
              <w:left w:w="225" w:type="dxa"/>
              <w:bottom w:w="225" w:type="dxa"/>
              <w:right w:w="225" w:type="dxa"/>
            </w:tcMar>
            <w:hideMark/>
          </w:tcPr>
          <w:p w:rsidR="004759AA" w:rsidRPr="00B66D49" w:rsidRDefault="004759AA" w:rsidP="002C2A66">
            <w:pPr>
              <w:rPr>
                <w:rFonts w:ascii="Times New Roman" w:hAnsi="Times New Roman" w:cs="Times New Roman"/>
                <w:sz w:val="24"/>
                <w:szCs w:val="24"/>
              </w:rPr>
            </w:pPr>
            <w:r w:rsidRPr="00B66D49">
              <w:rPr>
                <w:rFonts w:ascii="Times New Roman" w:hAnsi="Times New Roman" w:cs="Times New Roman"/>
                <w:sz w:val="24"/>
                <w:szCs w:val="24"/>
              </w:rPr>
              <w:t>п. 16 ст. 4.2 в новой редакции</w:t>
            </w:r>
          </w:p>
        </w:tc>
      </w:tr>
    </w:tbl>
    <w:p w:rsidR="004759AA" w:rsidRPr="00445554" w:rsidRDefault="004759AA" w:rsidP="004759AA">
      <w:pPr>
        <w:rPr>
          <w:rFonts w:ascii="Times New Roman" w:hAnsi="Times New Roman" w:cs="Times New Roman"/>
          <w:sz w:val="24"/>
        </w:rPr>
      </w:pPr>
    </w:p>
    <w:sectPr w:rsidR="004759AA" w:rsidRPr="00445554" w:rsidSect="00622EC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43" w:rsidRDefault="00765E43" w:rsidP="00921138">
      <w:pPr>
        <w:spacing w:after="0" w:line="240" w:lineRule="auto"/>
      </w:pPr>
      <w:r>
        <w:separator/>
      </w:r>
    </w:p>
  </w:endnote>
  <w:endnote w:type="continuationSeparator" w:id="0">
    <w:p w:rsidR="00765E43" w:rsidRDefault="00765E43" w:rsidP="0092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490183"/>
      <w:docPartObj>
        <w:docPartGallery w:val="Page Numbers (Bottom of Page)"/>
        <w:docPartUnique/>
      </w:docPartObj>
    </w:sdtPr>
    <w:sdtEndPr/>
    <w:sdtContent>
      <w:p w:rsidR="00765E43" w:rsidRDefault="004759AA">
        <w:pPr>
          <w:pStyle w:val="a8"/>
          <w:jc w:val="right"/>
        </w:pPr>
        <w:r>
          <w:fldChar w:fldCharType="begin"/>
        </w:r>
        <w:r>
          <w:instrText>PAGE   \* MERGEFORMAT</w:instrText>
        </w:r>
        <w:r>
          <w:fldChar w:fldCharType="separate"/>
        </w:r>
        <w:r>
          <w:rPr>
            <w:noProof/>
          </w:rPr>
          <w:t>10</w:t>
        </w:r>
        <w:r>
          <w:rPr>
            <w:noProof/>
          </w:rPr>
          <w:fldChar w:fldCharType="end"/>
        </w:r>
      </w:p>
    </w:sdtContent>
  </w:sdt>
  <w:p w:rsidR="00765E43" w:rsidRDefault="00765E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43" w:rsidRDefault="00765E43" w:rsidP="00921138">
      <w:pPr>
        <w:spacing w:after="0" w:line="240" w:lineRule="auto"/>
      </w:pPr>
      <w:r>
        <w:separator/>
      </w:r>
    </w:p>
  </w:footnote>
  <w:footnote w:type="continuationSeparator" w:id="0">
    <w:p w:rsidR="00765E43" w:rsidRDefault="00765E43" w:rsidP="00921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638"/>
    <w:multiLevelType w:val="multilevel"/>
    <w:tmpl w:val="16E8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E2A5A"/>
    <w:multiLevelType w:val="hybridMultilevel"/>
    <w:tmpl w:val="0A7A427E"/>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E31825"/>
    <w:multiLevelType w:val="multilevel"/>
    <w:tmpl w:val="D130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C55D2"/>
    <w:multiLevelType w:val="hybridMultilevel"/>
    <w:tmpl w:val="69F675CC"/>
    <w:lvl w:ilvl="0" w:tplc="8AC2D53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C57759"/>
    <w:multiLevelType w:val="hybridMultilevel"/>
    <w:tmpl w:val="E3F85ADE"/>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2141B1"/>
    <w:multiLevelType w:val="multilevel"/>
    <w:tmpl w:val="CE5C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31F5A"/>
    <w:multiLevelType w:val="multilevel"/>
    <w:tmpl w:val="0AD6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2135D9"/>
    <w:multiLevelType w:val="hybridMultilevel"/>
    <w:tmpl w:val="FAC4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C350D"/>
    <w:multiLevelType w:val="multilevel"/>
    <w:tmpl w:val="F8EC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B50F37"/>
    <w:multiLevelType w:val="hybridMultilevel"/>
    <w:tmpl w:val="CA08455E"/>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992932"/>
    <w:multiLevelType w:val="multilevel"/>
    <w:tmpl w:val="27E6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02846"/>
    <w:multiLevelType w:val="hybridMultilevel"/>
    <w:tmpl w:val="5972D1D4"/>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8B3FB1"/>
    <w:multiLevelType w:val="multilevel"/>
    <w:tmpl w:val="4D68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44272B"/>
    <w:multiLevelType w:val="multilevel"/>
    <w:tmpl w:val="C156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3437B9"/>
    <w:multiLevelType w:val="hybridMultilevel"/>
    <w:tmpl w:val="CC50A904"/>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BB71AD"/>
    <w:multiLevelType w:val="multilevel"/>
    <w:tmpl w:val="93B2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82700D"/>
    <w:multiLevelType w:val="hybridMultilevel"/>
    <w:tmpl w:val="D222E6B4"/>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184DC5"/>
    <w:multiLevelType w:val="hybridMultilevel"/>
    <w:tmpl w:val="86D6371C"/>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70673B"/>
    <w:multiLevelType w:val="multilevel"/>
    <w:tmpl w:val="3AE2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EF0F51"/>
    <w:multiLevelType w:val="hybridMultilevel"/>
    <w:tmpl w:val="B688F84A"/>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D82085"/>
    <w:multiLevelType w:val="multilevel"/>
    <w:tmpl w:val="69D4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797F5A"/>
    <w:multiLevelType w:val="hybridMultilevel"/>
    <w:tmpl w:val="D9C039F4"/>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E50AD5"/>
    <w:multiLevelType w:val="multilevel"/>
    <w:tmpl w:val="586A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B81BBF"/>
    <w:multiLevelType w:val="multilevel"/>
    <w:tmpl w:val="5290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E601A9"/>
    <w:multiLevelType w:val="hybridMultilevel"/>
    <w:tmpl w:val="A6B86872"/>
    <w:lvl w:ilvl="0" w:tplc="15AE0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3D54BF"/>
    <w:multiLevelType w:val="hybridMultilevel"/>
    <w:tmpl w:val="B3CAF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8645A7"/>
    <w:multiLevelType w:val="hybridMultilevel"/>
    <w:tmpl w:val="93DA97A0"/>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62811C5"/>
    <w:multiLevelType w:val="hybridMultilevel"/>
    <w:tmpl w:val="50648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FF4DBA"/>
    <w:multiLevelType w:val="hybridMultilevel"/>
    <w:tmpl w:val="73D08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5B5F3A"/>
    <w:multiLevelType w:val="hybridMultilevel"/>
    <w:tmpl w:val="159662F6"/>
    <w:lvl w:ilvl="0" w:tplc="15AE071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nsid w:val="5A136240"/>
    <w:multiLevelType w:val="multilevel"/>
    <w:tmpl w:val="1EE2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725F2E"/>
    <w:multiLevelType w:val="hybridMultilevel"/>
    <w:tmpl w:val="657CD6B4"/>
    <w:lvl w:ilvl="0" w:tplc="8966A25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0240965"/>
    <w:multiLevelType w:val="multilevel"/>
    <w:tmpl w:val="4602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0B7171"/>
    <w:multiLevelType w:val="hybridMultilevel"/>
    <w:tmpl w:val="A9B4E3EC"/>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77251F9"/>
    <w:multiLevelType w:val="hybridMultilevel"/>
    <w:tmpl w:val="03147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45770F"/>
    <w:multiLevelType w:val="hybridMultilevel"/>
    <w:tmpl w:val="72DE441E"/>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806305"/>
    <w:multiLevelType w:val="hybridMultilevel"/>
    <w:tmpl w:val="229AEBD8"/>
    <w:lvl w:ilvl="0" w:tplc="15AE0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C81735"/>
    <w:multiLevelType w:val="hybridMultilevel"/>
    <w:tmpl w:val="E30E48D4"/>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0A00C9A"/>
    <w:multiLevelType w:val="hybridMultilevel"/>
    <w:tmpl w:val="8CE49C6A"/>
    <w:lvl w:ilvl="0" w:tplc="9E4AF04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2295D9B"/>
    <w:multiLevelType w:val="multilevel"/>
    <w:tmpl w:val="8BF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DD02C2"/>
    <w:multiLevelType w:val="multilevel"/>
    <w:tmpl w:val="F8A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214268"/>
    <w:multiLevelType w:val="hybridMultilevel"/>
    <w:tmpl w:val="D4C074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8B38BC"/>
    <w:multiLevelType w:val="multilevel"/>
    <w:tmpl w:val="8A76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CF1AC1"/>
    <w:multiLevelType w:val="hybridMultilevel"/>
    <w:tmpl w:val="2FF0945E"/>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E777ABA"/>
    <w:multiLevelType w:val="hybridMultilevel"/>
    <w:tmpl w:val="1D2EDDBE"/>
    <w:lvl w:ilvl="0" w:tplc="15AE0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B22BAA"/>
    <w:multiLevelType w:val="multilevel"/>
    <w:tmpl w:val="B5A4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7"/>
  </w:num>
  <w:num w:numId="4">
    <w:abstractNumId w:val="34"/>
  </w:num>
  <w:num w:numId="5">
    <w:abstractNumId w:val="25"/>
  </w:num>
  <w:num w:numId="6">
    <w:abstractNumId w:val="4"/>
  </w:num>
  <w:num w:numId="7">
    <w:abstractNumId w:val="9"/>
  </w:num>
  <w:num w:numId="8">
    <w:abstractNumId w:val="1"/>
  </w:num>
  <w:num w:numId="9">
    <w:abstractNumId w:val="14"/>
  </w:num>
  <w:num w:numId="10">
    <w:abstractNumId w:val="26"/>
  </w:num>
  <w:num w:numId="11">
    <w:abstractNumId w:val="11"/>
  </w:num>
  <w:num w:numId="12">
    <w:abstractNumId w:val="21"/>
  </w:num>
  <w:num w:numId="13">
    <w:abstractNumId w:val="44"/>
  </w:num>
  <w:num w:numId="14">
    <w:abstractNumId w:val="37"/>
  </w:num>
  <w:num w:numId="15">
    <w:abstractNumId w:val="31"/>
  </w:num>
  <w:num w:numId="16">
    <w:abstractNumId w:val="35"/>
  </w:num>
  <w:num w:numId="17">
    <w:abstractNumId w:val="17"/>
  </w:num>
  <w:num w:numId="18">
    <w:abstractNumId w:val="16"/>
  </w:num>
  <w:num w:numId="19">
    <w:abstractNumId w:val="38"/>
  </w:num>
  <w:num w:numId="20">
    <w:abstractNumId w:val="19"/>
  </w:num>
  <w:num w:numId="21">
    <w:abstractNumId w:val="33"/>
  </w:num>
  <w:num w:numId="22">
    <w:abstractNumId w:val="3"/>
  </w:num>
  <w:num w:numId="23">
    <w:abstractNumId w:val="36"/>
  </w:num>
  <w:num w:numId="24">
    <w:abstractNumId w:val="29"/>
  </w:num>
  <w:num w:numId="25">
    <w:abstractNumId w:val="43"/>
  </w:num>
  <w:num w:numId="26">
    <w:abstractNumId w:val="28"/>
  </w:num>
  <w:num w:numId="27">
    <w:abstractNumId w:val="41"/>
  </w:num>
  <w:num w:numId="28">
    <w:abstractNumId w:val="42"/>
  </w:num>
  <w:num w:numId="29">
    <w:abstractNumId w:val="32"/>
  </w:num>
  <w:num w:numId="30">
    <w:abstractNumId w:val="30"/>
  </w:num>
  <w:num w:numId="31">
    <w:abstractNumId w:val="15"/>
  </w:num>
  <w:num w:numId="32">
    <w:abstractNumId w:val="0"/>
  </w:num>
  <w:num w:numId="33">
    <w:abstractNumId w:val="23"/>
  </w:num>
  <w:num w:numId="34">
    <w:abstractNumId w:val="20"/>
  </w:num>
  <w:num w:numId="35">
    <w:abstractNumId w:val="12"/>
  </w:num>
  <w:num w:numId="36">
    <w:abstractNumId w:val="6"/>
  </w:num>
  <w:num w:numId="37">
    <w:abstractNumId w:val="5"/>
  </w:num>
  <w:num w:numId="38">
    <w:abstractNumId w:val="45"/>
  </w:num>
  <w:num w:numId="39">
    <w:abstractNumId w:val="22"/>
  </w:num>
  <w:num w:numId="40">
    <w:abstractNumId w:val="39"/>
  </w:num>
  <w:num w:numId="41">
    <w:abstractNumId w:val="2"/>
  </w:num>
  <w:num w:numId="42">
    <w:abstractNumId w:val="8"/>
  </w:num>
  <w:num w:numId="43">
    <w:abstractNumId w:val="18"/>
  </w:num>
  <w:num w:numId="44">
    <w:abstractNumId w:val="40"/>
  </w:num>
  <w:num w:numId="45">
    <w:abstractNumId w:val="1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7"/>
    <w:rsid w:val="000E6BF0"/>
    <w:rsid w:val="00183E3C"/>
    <w:rsid w:val="00195E71"/>
    <w:rsid w:val="00233C21"/>
    <w:rsid w:val="0039360E"/>
    <w:rsid w:val="00412563"/>
    <w:rsid w:val="00445554"/>
    <w:rsid w:val="004759AA"/>
    <w:rsid w:val="004E4F65"/>
    <w:rsid w:val="005839C8"/>
    <w:rsid w:val="005D3735"/>
    <w:rsid w:val="00622EC7"/>
    <w:rsid w:val="00765E43"/>
    <w:rsid w:val="00921138"/>
    <w:rsid w:val="00B01514"/>
    <w:rsid w:val="00C30AAA"/>
    <w:rsid w:val="00C96443"/>
    <w:rsid w:val="00DE5846"/>
    <w:rsid w:val="00E65537"/>
    <w:rsid w:val="00EE2DAC"/>
    <w:rsid w:val="00F23B6E"/>
    <w:rsid w:val="00F62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15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015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15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E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2E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2EC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622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2EC7"/>
    <w:rPr>
      <w:color w:val="0000FF"/>
      <w:u w:val="single"/>
    </w:rPr>
  </w:style>
  <w:style w:type="paragraph" w:styleId="a5">
    <w:name w:val="List Paragraph"/>
    <w:basedOn w:val="a"/>
    <w:uiPriority w:val="34"/>
    <w:qFormat/>
    <w:rsid w:val="00622EC7"/>
    <w:pPr>
      <w:ind w:left="720"/>
      <w:contextualSpacing/>
    </w:pPr>
  </w:style>
  <w:style w:type="paragraph" w:styleId="a6">
    <w:name w:val="header"/>
    <w:basedOn w:val="a"/>
    <w:link w:val="a7"/>
    <w:unhideWhenUsed/>
    <w:rsid w:val="0044555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445554"/>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44555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445554"/>
    <w:rPr>
      <w:rFonts w:ascii="Times New Roman" w:eastAsia="Times New Roman" w:hAnsi="Times New Roman" w:cs="Times New Roman"/>
      <w:sz w:val="24"/>
      <w:szCs w:val="24"/>
      <w:lang w:val="x-none" w:eastAsia="x-none"/>
    </w:rPr>
  </w:style>
  <w:style w:type="paragraph" w:styleId="aa">
    <w:name w:val="Balloon Text"/>
    <w:basedOn w:val="a"/>
    <w:link w:val="ab"/>
    <w:uiPriority w:val="99"/>
    <w:semiHidden/>
    <w:unhideWhenUsed/>
    <w:rsid w:val="004455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5554"/>
    <w:rPr>
      <w:rFonts w:ascii="Tahoma" w:hAnsi="Tahoma" w:cs="Tahoma"/>
      <w:sz w:val="16"/>
      <w:szCs w:val="16"/>
    </w:rPr>
  </w:style>
  <w:style w:type="character" w:customStyle="1" w:styleId="10">
    <w:name w:val="Заголовок 1 Знак"/>
    <w:basedOn w:val="a0"/>
    <w:link w:val="1"/>
    <w:uiPriority w:val="9"/>
    <w:rsid w:val="00B015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015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01514"/>
    <w:rPr>
      <w:rFonts w:asciiTheme="majorHAnsi" w:eastAsiaTheme="majorEastAsia" w:hAnsiTheme="majorHAnsi" w:cstheme="majorBidi"/>
      <w:b/>
      <w:bCs/>
      <w:color w:val="4F81BD" w:themeColor="accent1"/>
    </w:rPr>
  </w:style>
  <w:style w:type="character" w:styleId="ac">
    <w:name w:val="Strong"/>
    <w:basedOn w:val="a0"/>
    <w:uiPriority w:val="22"/>
    <w:qFormat/>
    <w:rsid w:val="00B01514"/>
    <w:rPr>
      <w:b/>
      <w:bCs/>
    </w:rPr>
  </w:style>
  <w:style w:type="paragraph" w:styleId="ad">
    <w:name w:val="footnote text"/>
    <w:basedOn w:val="a"/>
    <w:link w:val="ae"/>
    <w:uiPriority w:val="99"/>
    <w:semiHidden/>
    <w:unhideWhenUsed/>
    <w:rsid w:val="00765E43"/>
    <w:pPr>
      <w:spacing w:after="0" w:line="240" w:lineRule="auto"/>
    </w:pPr>
    <w:rPr>
      <w:sz w:val="20"/>
      <w:szCs w:val="20"/>
    </w:rPr>
  </w:style>
  <w:style w:type="character" w:customStyle="1" w:styleId="ae">
    <w:name w:val="Текст сноски Знак"/>
    <w:basedOn w:val="a0"/>
    <w:link w:val="ad"/>
    <w:uiPriority w:val="99"/>
    <w:semiHidden/>
    <w:rsid w:val="00765E43"/>
    <w:rPr>
      <w:sz w:val="20"/>
      <w:szCs w:val="20"/>
    </w:rPr>
  </w:style>
  <w:style w:type="character" w:styleId="af">
    <w:name w:val="footnote reference"/>
    <w:basedOn w:val="a0"/>
    <w:uiPriority w:val="99"/>
    <w:semiHidden/>
    <w:unhideWhenUsed/>
    <w:rsid w:val="00765E43"/>
    <w:rPr>
      <w:vertAlign w:val="superscript"/>
    </w:rPr>
  </w:style>
  <w:style w:type="paragraph" w:styleId="af0">
    <w:name w:val="endnote text"/>
    <w:basedOn w:val="a"/>
    <w:link w:val="af1"/>
    <w:uiPriority w:val="99"/>
    <w:semiHidden/>
    <w:unhideWhenUsed/>
    <w:rsid w:val="00765E43"/>
    <w:pPr>
      <w:spacing w:after="0" w:line="240" w:lineRule="auto"/>
    </w:pPr>
    <w:rPr>
      <w:sz w:val="20"/>
      <w:szCs w:val="20"/>
    </w:rPr>
  </w:style>
  <w:style w:type="character" w:customStyle="1" w:styleId="af1">
    <w:name w:val="Текст концевой сноски Знак"/>
    <w:basedOn w:val="a0"/>
    <w:link w:val="af0"/>
    <w:uiPriority w:val="99"/>
    <w:semiHidden/>
    <w:rsid w:val="00765E43"/>
    <w:rPr>
      <w:sz w:val="20"/>
      <w:szCs w:val="20"/>
    </w:rPr>
  </w:style>
  <w:style w:type="character" w:styleId="af2">
    <w:name w:val="endnote reference"/>
    <w:basedOn w:val="a0"/>
    <w:uiPriority w:val="99"/>
    <w:semiHidden/>
    <w:unhideWhenUsed/>
    <w:rsid w:val="00765E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15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015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15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E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2E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2EC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622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2EC7"/>
    <w:rPr>
      <w:color w:val="0000FF"/>
      <w:u w:val="single"/>
    </w:rPr>
  </w:style>
  <w:style w:type="paragraph" w:styleId="a5">
    <w:name w:val="List Paragraph"/>
    <w:basedOn w:val="a"/>
    <w:uiPriority w:val="34"/>
    <w:qFormat/>
    <w:rsid w:val="00622EC7"/>
    <w:pPr>
      <w:ind w:left="720"/>
      <w:contextualSpacing/>
    </w:pPr>
  </w:style>
  <w:style w:type="paragraph" w:styleId="a6">
    <w:name w:val="header"/>
    <w:basedOn w:val="a"/>
    <w:link w:val="a7"/>
    <w:unhideWhenUsed/>
    <w:rsid w:val="0044555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445554"/>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44555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445554"/>
    <w:rPr>
      <w:rFonts w:ascii="Times New Roman" w:eastAsia="Times New Roman" w:hAnsi="Times New Roman" w:cs="Times New Roman"/>
      <w:sz w:val="24"/>
      <w:szCs w:val="24"/>
      <w:lang w:val="x-none" w:eastAsia="x-none"/>
    </w:rPr>
  </w:style>
  <w:style w:type="paragraph" w:styleId="aa">
    <w:name w:val="Balloon Text"/>
    <w:basedOn w:val="a"/>
    <w:link w:val="ab"/>
    <w:uiPriority w:val="99"/>
    <w:semiHidden/>
    <w:unhideWhenUsed/>
    <w:rsid w:val="004455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5554"/>
    <w:rPr>
      <w:rFonts w:ascii="Tahoma" w:hAnsi="Tahoma" w:cs="Tahoma"/>
      <w:sz w:val="16"/>
      <w:szCs w:val="16"/>
    </w:rPr>
  </w:style>
  <w:style w:type="character" w:customStyle="1" w:styleId="10">
    <w:name w:val="Заголовок 1 Знак"/>
    <w:basedOn w:val="a0"/>
    <w:link w:val="1"/>
    <w:uiPriority w:val="9"/>
    <w:rsid w:val="00B015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015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01514"/>
    <w:rPr>
      <w:rFonts w:asciiTheme="majorHAnsi" w:eastAsiaTheme="majorEastAsia" w:hAnsiTheme="majorHAnsi" w:cstheme="majorBidi"/>
      <w:b/>
      <w:bCs/>
      <w:color w:val="4F81BD" w:themeColor="accent1"/>
    </w:rPr>
  </w:style>
  <w:style w:type="character" w:styleId="ac">
    <w:name w:val="Strong"/>
    <w:basedOn w:val="a0"/>
    <w:uiPriority w:val="22"/>
    <w:qFormat/>
    <w:rsid w:val="00B01514"/>
    <w:rPr>
      <w:b/>
      <w:bCs/>
    </w:rPr>
  </w:style>
  <w:style w:type="paragraph" w:styleId="ad">
    <w:name w:val="footnote text"/>
    <w:basedOn w:val="a"/>
    <w:link w:val="ae"/>
    <w:uiPriority w:val="99"/>
    <w:semiHidden/>
    <w:unhideWhenUsed/>
    <w:rsid w:val="00765E43"/>
    <w:pPr>
      <w:spacing w:after="0" w:line="240" w:lineRule="auto"/>
    </w:pPr>
    <w:rPr>
      <w:sz w:val="20"/>
      <w:szCs w:val="20"/>
    </w:rPr>
  </w:style>
  <w:style w:type="character" w:customStyle="1" w:styleId="ae">
    <w:name w:val="Текст сноски Знак"/>
    <w:basedOn w:val="a0"/>
    <w:link w:val="ad"/>
    <w:uiPriority w:val="99"/>
    <w:semiHidden/>
    <w:rsid w:val="00765E43"/>
    <w:rPr>
      <w:sz w:val="20"/>
      <w:szCs w:val="20"/>
    </w:rPr>
  </w:style>
  <w:style w:type="character" w:styleId="af">
    <w:name w:val="footnote reference"/>
    <w:basedOn w:val="a0"/>
    <w:uiPriority w:val="99"/>
    <w:semiHidden/>
    <w:unhideWhenUsed/>
    <w:rsid w:val="00765E43"/>
    <w:rPr>
      <w:vertAlign w:val="superscript"/>
    </w:rPr>
  </w:style>
  <w:style w:type="paragraph" w:styleId="af0">
    <w:name w:val="endnote text"/>
    <w:basedOn w:val="a"/>
    <w:link w:val="af1"/>
    <w:uiPriority w:val="99"/>
    <w:semiHidden/>
    <w:unhideWhenUsed/>
    <w:rsid w:val="00765E43"/>
    <w:pPr>
      <w:spacing w:after="0" w:line="240" w:lineRule="auto"/>
    </w:pPr>
    <w:rPr>
      <w:sz w:val="20"/>
      <w:szCs w:val="20"/>
    </w:rPr>
  </w:style>
  <w:style w:type="character" w:customStyle="1" w:styleId="af1">
    <w:name w:val="Текст концевой сноски Знак"/>
    <w:basedOn w:val="a0"/>
    <w:link w:val="af0"/>
    <w:uiPriority w:val="99"/>
    <w:semiHidden/>
    <w:rsid w:val="00765E43"/>
    <w:rPr>
      <w:sz w:val="20"/>
      <w:szCs w:val="20"/>
    </w:rPr>
  </w:style>
  <w:style w:type="character" w:styleId="af2">
    <w:name w:val="endnote reference"/>
    <w:basedOn w:val="a0"/>
    <w:uiPriority w:val="99"/>
    <w:semiHidden/>
    <w:unhideWhenUsed/>
    <w:rsid w:val="00765E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2472">
      <w:bodyDiv w:val="1"/>
      <w:marLeft w:val="0"/>
      <w:marRight w:val="0"/>
      <w:marTop w:val="0"/>
      <w:marBottom w:val="0"/>
      <w:divBdr>
        <w:top w:val="none" w:sz="0" w:space="0" w:color="auto"/>
        <w:left w:val="none" w:sz="0" w:space="0" w:color="auto"/>
        <w:bottom w:val="none" w:sz="0" w:space="0" w:color="auto"/>
        <w:right w:val="none" w:sz="0" w:space="0" w:color="auto"/>
      </w:divBdr>
    </w:div>
    <w:div w:id="154883561">
      <w:bodyDiv w:val="1"/>
      <w:marLeft w:val="0"/>
      <w:marRight w:val="0"/>
      <w:marTop w:val="0"/>
      <w:marBottom w:val="0"/>
      <w:divBdr>
        <w:top w:val="none" w:sz="0" w:space="0" w:color="auto"/>
        <w:left w:val="none" w:sz="0" w:space="0" w:color="auto"/>
        <w:bottom w:val="none" w:sz="0" w:space="0" w:color="auto"/>
        <w:right w:val="none" w:sz="0" w:space="0" w:color="auto"/>
      </w:divBdr>
    </w:div>
    <w:div w:id="262735690">
      <w:bodyDiv w:val="1"/>
      <w:marLeft w:val="0"/>
      <w:marRight w:val="0"/>
      <w:marTop w:val="0"/>
      <w:marBottom w:val="0"/>
      <w:divBdr>
        <w:top w:val="none" w:sz="0" w:space="0" w:color="auto"/>
        <w:left w:val="none" w:sz="0" w:space="0" w:color="auto"/>
        <w:bottom w:val="none" w:sz="0" w:space="0" w:color="auto"/>
        <w:right w:val="none" w:sz="0" w:space="0" w:color="auto"/>
      </w:divBdr>
    </w:div>
    <w:div w:id="297102865">
      <w:bodyDiv w:val="1"/>
      <w:marLeft w:val="0"/>
      <w:marRight w:val="0"/>
      <w:marTop w:val="0"/>
      <w:marBottom w:val="0"/>
      <w:divBdr>
        <w:top w:val="none" w:sz="0" w:space="0" w:color="auto"/>
        <w:left w:val="none" w:sz="0" w:space="0" w:color="auto"/>
        <w:bottom w:val="none" w:sz="0" w:space="0" w:color="auto"/>
        <w:right w:val="none" w:sz="0" w:space="0" w:color="auto"/>
      </w:divBdr>
    </w:div>
    <w:div w:id="389890342">
      <w:bodyDiv w:val="1"/>
      <w:marLeft w:val="0"/>
      <w:marRight w:val="0"/>
      <w:marTop w:val="0"/>
      <w:marBottom w:val="0"/>
      <w:divBdr>
        <w:top w:val="none" w:sz="0" w:space="0" w:color="auto"/>
        <w:left w:val="none" w:sz="0" w:space="0" w:color="auto"/>
        <w:bottom w:val="none" w:sz="0" w:space="0" w:color="auto"/>
        <w:right w:val="none" w:sz="0" w:space="0" w:color="auto"/>
      </w:divBdr>
    </w:div>
    <w:div w:id="499084556">
      <w:bodyDiv w:val="1"/>
      <w:marLeft w:val="0"/>
      <w:marRight w:val="0"/>
      <w:marTop w:val="0"/>
      <w:marBottom w:val="0"/>
      <w:divBdr>
        <w:top w:val="none" w:sz="0" w:space="0" w:color="auto"/>
        <w:left w:val="none" w:sz="0" w:space="0" w:color="auto"/>
        <w:bottom w:val="none" w:sz="0" w:space="0" w:color="auto"/>
        <w:right w:val="none" w:sz="0" w:space="0" w:color="auto"/>
      </w:divBdr>
    </w:div>
    <w:div w:id="626202546">
      <w:bodyDiv w:val="1"/>
      <w:marLeft w:val="0"/>
      <w:marRight w:val="0"/>
      <w:marTop w:val="0"/>
      <w:marBottom w:val="0"/>
      <w:divBdr>
        <w:top w:val="none" w:sz="0" w:space="0" w:color="auto"/>
        <w:left w:val="none" w:sz="0" w:space="0" w:color="auto"/>
        <w:bottom w:val="none" w:sz="0" w:space="0" w:color="auto"/>
        <w:right w:val="none" w:sz="0" w:space="0" w:color="auto"/>
      </w:divBdr>
    </w:div>
    <w:div w:id="799346260">
      <w:bodyDiv w:val="1"/>
      <w:marLeft w:val="0"/>
      <w:marRight w:val="0"/>
      <w:marTop w:val="0"/>
      <w:marBottom w:val="0"/>
      <w:divBdr>
        <w:top w:val="none" w:sz="0" w:space="0" w:color="auto"/>
        <w:left w:val="none" w:sz="0" w:space="0" w:color="auto"/>
        <w:bottom w:val="none" w:sz="0" w:space="0" w:color="auto"/>
        <w:right w:val="none" w:sz="0" w:space="0" w:color="auto"/>
      </w:divBdr>
    </w:div>
    <w:div w:id="944188727">
      <w:bodyDiv w:val="1"/>
      <w:marLeft w:val="0"/>
      <w:marRight w:val="0"/>
      <w:marTop w:val="0"/>
      <w:marBottom w:val="0"/>
      <w:divBdr>
        <w:top w:val="none" w:sz="0" w:space="0" w:color="auto"/>
        <w:left w:val="none" w:sz="0" w:space="0" w:color="auto"/>
        <w:bottom w:val="none" w:sz="0" w:space="0" w:color="auto"/>
        <w:right w:val="none" w:sz="0" w:space="0" w:color="auto"/>
      </w:divBdr>
    </w:div>
    <w:div w:id="1050377862">
      <w:bodyDiv w:val="1"/>
      <w:marLeft w:val="0"/>
      <w:marRight w:val="0"/>
      <w:marTop w:val="0"/>
      <w:marBottom w:val="0"/>
      <w:divBdr>
        <w:top w:val="none" w:sz="0" w:space="0" w:color="auto"/>
        <w:left w:val="none" w:sz="0" w:space="0" w:color="auto"/>
        <w:bottom w:val="none" w:sz="0" w:space="0" w:color="auto"/>
        <w:right w:val="none" w:sz="0" w:space="0" w:color="auto"/>
      </w:divBdr>
    </w:div>
    <w:div w:id="1105031133">
      <w:bodyDiv w:val="1"/>
      <w:marLeft w:val="0"/>
      <w:marRight w:val="0"/>
      <w:marTop w:val="0"/>
      <w:marBottom w:val="0"/>
      <w:divBdr>
        <w:top w:val="none" w:sz="0" w:space="0" w:color="auto"/>
        <w:left w:val="none" w:sz="0" w:space="0" w:color="auto"/>
        <w:bottom w:val="none" w:sz="0" w:space="0" w:color="auto"/>
        <w:right w:val="none" w:sz="0" w:space="0" w:color="auto"/>
      </w:divBdr>
    </w:div>
    <w:div w:id="1309091097">
      <w:bodyDiv w:val="1"/>
      <w:marLeft w:val="0"/>
      <w:marRight w:val="0"/>
      <w:marTop w:val="0"/>
      <w:marBottom w:val="0"/>
      <w:divBdr>
        <w:top w:val="none" w:sz="0" w:space="0" w:color="auto"/>
        <w:left w:val="none" w:sz="0" w:space="0" w:color="auto"/>
        <w:bottom w:val="none" w:sz="0" w:space="0" w:color="auto"/>
        <w:right w:val="none" w:sz="0" w:space="0" w:color="auto"/>
      </w:divBdr>
    </w:div>
    <w:div w:id="1462461610">
      <w:bodyDiv w:val="1"/>
      <w:marLeft w:val="0"/>
      <w:marRight w:val="0"/>
      <w:marTop w:val="0"/>
      <w:marBottom w:val="0"/>
      <w:divBdr>
        <w:top w:val="none" w:sz="0" w:space="0" w:color="auto"/>
        <w:left w:val="none" w:sz="0" w:space="0" w:color="auto"/>
        <w:bottom w:val="none" w:sz="0" w:space="0" w:color="auto"/>
        <w:right w:val="none" w:sz="0" w:space="0" w:color="auto"/>
      </w:divBdr>
    </w:div>
    <w:div w:id="1500123720">
      <w:bodyDiv w:val="1"/>
      <w:marLeft w:val="0"/>
      <w:marRight w:val="0"/>
      <w:marTop w:val="0"/>
      <w:marBottom w:val="0"/>
      <w:divBdr>
        <w:top w:val="none" w:sz="0" w:space="0" w:color="auto"/>
        <w:left w:val="none" w:sz="0" w:space="0" w:color="auto"/>
        <w:bottom w:val="none" w:sz="0" w:space="0" w:color="auto"/>
        <w:right w:val="none" w:sz="0" w:space="0" w:color="auto"/>
      </w:divBdr>
    </w:div>
    <w:div w:id="1574045589">
      <w:bodyDiv w:val="1"/>
      <w:marLeft w:val="0"/>
      <w:marRight w:val="0"/>
      <w:marTop w:val="0"/>
      <w:marBottom w:val="0"/>
      <w:divBdr>
        <w:top w:val="none" w:sz="0" w:space="0" w:color="auto"/>
        <w:left w:val="none" w:sz="0" w:space="0" w:color="auto"/>
        <w:bottom w:val="none" w:sz="0" w:space="0" w:color="auto"/>
        <w:right w:val="none" w:sz="0" w:space="0" w:color="auto"/>
      </w:divBdr>
    </w:div>
    <w:div w:id="1676759049">
      <w:bodyDiv w:val="1"/>
      <w:marLeft w:val="0"/>
      <w:marRight w:val="0"/>
      <w:marTop w:val="0"/>
      <w:marBottom w:val="0"/>
      <w:divBdr>
        <w:top w:val="none" w:sz="0" w:space="0" w:color="auto"/>
        <w:left w:val="none" w:sz="0" w:space="0" w:color="auto"/>
        <w:bottom w:val="none" w:sz="0" w:space="0" w:color="auto"/>
        <w:right w:val="none" w:sz="0" w:space="0" w:color="auto"/>
      </w:divBdr>
    </w:div>
    <w:div w:id="1745103063">
      <w:bodyDiv w:val="1"/>
      <w:marLeft w:val="0"/>
      <w:marRight w:val="0"/>
      <w:marTop w:val="0"/>
      <w:marBottom w:val="0"/>
      <w:divBdr>
        <w:top w:val="none" w:sz="0" w:space="0" w:color="auto"/>
        <w:left w:val="none" w:sz="0" w:space="0" w:color="auto"/>
        <w:bottom w:val="none" w:sz="0" w:space="0" w:color="auto"/>
        <w:right w:val="none" w:sz="0" w:space="0" w:color="auto"/>
      </w:divBdr>
    </w:div>
    <w:div w:id="1762486238">
      <w:bodyDiv w:val="1"/>
      <w:marLeft w:val="0"/>
      <w:marRight w:val="0"/>
      <w:marTop w:val="0"/>
      <w:marBottom w:val="0"/>
      <w:divBdr>
        <w:top w:val="none" w:sz="0" w:space="0" w:color="auto"/>
        <w:left w:val="none" w:sz="0" w:space="0" w:color="auto"/>
        <w:bottom w:val="none" w:sz="0" w:space="0" w:color="auto"/>
        <w:right w:val="none" w:sz="0" w:space="0" w:color="auto"/>
      </w:divBdr>
    </w:div>
    <w:div w:id="1775175335">
      <w:bodyDiv w:val="1"/>
      <w:marLeft w:val="0"/>
      <w:marRight w:val="0"/>
      <w:marTop w:val="0"/>
      <w:marBottom w:val="0"/>
      <w:divBdr>
        <w:top w:val="none" w:sz="0" w:space="0" w:color="auto"/>
        <w:left w:val="none" w:sz="0" w:space="0" w:color="auto"/>
        <w:bottom w:val="none" w:sz="0" w:space="0" w:color="auto"/>
        <w:right w:val="none" w:sz="0" w:space="0" w:color="auto"/>
      </w:divBdr>
    </w:div>
    <w:div w:id="1782338404">
      <w:bodyDiv w:val="1"/>
      <w:marLeft w:val="0"/>
      <w:marRight w:val="0"/>
      <w:marTop w:val="0"/>
      <w:marBottom w:val="0"/>
      <w:divBdr>
        <w:top w:val="none" w:sz="0" w:space="0" w:color="auto"/>
        <w:left w:val="none" w:sz="0" w:space="0" w:color="auto"/>
        <w:bottom w:val="none" w:sz="0" w:space="0" w:color="auto"/>
        <w:right w:val="none" w:sz="0" w:space="0" w:color="auto"/>
      </w:divBdr>
    </w:div>
    <w:div w:id="1816600039">
      <w:bodyDiv w:val="1"/>
      <w:marLeft w:val="0"/>
      <w:marRight w:val="0"/>
      <w:marTop w:val="0"/>
      <w:marBottom w:val="0"/>
      <w:divBdr>
        <w:top w:val="none" w:sz="0" w:space="0" w:color="auto"/>
        <w:left w:val="none" w:sz="0" w:space="0" w:color="auto"/>
        <w:bottom w:val="none" w:sz="0" w:space="0" w:color="auto"/>
        <w:right w:val="none" w:sz="0" w:space="0" w:color="auto"/>
      </w:divBdr>
    </w:div>
    <w:div w:id="188148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vuar.&#1075;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3A983-3D3D-4AEB-BEB6-8040E601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3050</Words>
  <Characters>17386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Сумзина</dc:creator>
  <cp:lastModifiedBy>goncharova_ng</cp:lastModifiedBy>
  <cp:revision>2</cp:revision>
  <dcterms:created xsi:type="dcterms:W3CDTF">2018-08-03T04:37:00Z</dcterms:created>
  <dcterms:modified xsi:type="dcterms:W3CDTF">2018-08-03T04:37:00Z</dcterms:modified>
</cp:coreProperties>
</file>