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26" w:rsidRDefault="00FB02A5">
      <w:pPr>
        <w:spacing w:after="0" w:line="259" w:lineRule="auto"/>
        <w:ind w:left="5" w:righ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3378</wp:posOffset>
            </wp:positionH>
            <wp:positionV relativeFrom="paragraph">
              <wp:posOffset>-21535</wp:posOffset>
            </wp:positionV>
            <wp:extent cx="1454785" cy="52451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ООО «АФ  «АВУАР» </w:t>
      </w:r>
    </w:p>
    <w:p w:rsidR="00FD4026" w:rsidRDefault="00FB02A5">
      <w:pPr>
        <w:spacing w:after="3" w:line="268" w:lineRule="auto"/>
        <w:ind w:left="15" w:right="178" w:hanging="10"/>
        <w:jc w:val="left"/>
      </w:pPr>
      <w:r>
        <w:rPr>
          <w:rFonts w:ascii="Arial" w:eastAsia="Arial" w:hAnsi="Arial" w:cs="Arial"/>
          <w:sz w:val="16"/>
        </w:rPr>
        <w:t xml:space="preserve">454080, Челябинск, Тернопольская, 6, 4 этаж ИНН/КПП 7438016046/744701001 </w:t>
      </w:r>
    </w:p>
    <w:p w:rsidR="00FD4026" w:rsidRDefault="00FB02A5">
      <w:pPr>
        <w:spacing w:after="3" w:line="268" w:lineRule="auto"/>
        <w:ind w:left="15" w:right="178" w:hanging="10"/>
        <w:jc w:val="left"/>
      </w:pPr>
      <w:r>
        <w:rPr>
          <w:rFonts w:ascii="Arial" w:eastAsia="Arial" w:hAnsi="Arial" w:cs="Arial"/>
          <w:sz w:val="16"/>
        </w:rPr>
        <w:t xml:space="preserve">+7 (351) 216-11-89 </w:t>
      </w:r>
      <w:hyperlink r:id="rId8">
        <w:r>
          <w:rPr>
            <w:rFonts w:ascii="Arial" w:eastAsia="Arial" w:hAnsi="Arial" w:cs="Arial"/>
            <w:color w:val="0000FF"/>
            <w:sz w:val="16"/>
            <w:u w:val="single" w:color="0000FF"/>
          </w:rPr>
          <w:t>www</w:t>
        </w:r>
      </w:hyperlink>
      <w:hyperlink r:id="rId9">
        <w:r>
          <w:rPr>
            <w:rFonts w:ascii="Arial" w:eastAsia="Arial" w:hAnsi="Arial" w:cs="Arial"/>
            <w:color w:val="0000FF"/>
            <w:sz w:val="16"/>
            <w:u w:val="single" w:color="0000FF"/>
          </w:rPr>
          <w:t>.</w:t>
        </w:r>
      </w:hyperlink>
      <w:hyperlink r:id="rId10">
        <w:r>
          <w:rPr>
            <w:rFonts w:ascii="Arial" w:eastAsia="Arial" w:hAnsi="Arial" w:cs="Arial"/>
            <w:color w:val="0000FF"/>
            <w:sz w:val="16"/>
            <w:u w:val="single" w:color="0000FF"/>
          </w:rPr>
          <w:t>avuar.гu</w:t>
        </w:r>
      </w:hyperlink>
      <w:hyperlink r:id="rId11">
        <w:r>
          <w:rPr>
            <w:rFonts w:ascii="Arial" w:eastAsia="Arial" w:hAnsi="Arial" w:cs="Arial"/>
            <w:sz w:val="16"/>
          </w:rPr>
          <w:t xml:space="preserve"> </w:t>
        </w:r>
      </w:hyperlink>
      <w:r>
        <w:rPr>
          <w:rFonts w:ascii="Arial" w:eastAsia="Arial" w:hAnsi="Arial" w:cs="Arial"/>
          <w:sz w:val="16"/>
        </w:rPr>
        <w:t xml:space="preserve"> </w:t>
      </w:r>
    </w:p>
    <w:p w:rsidR="00FD4026" w:rsidRDefault="00FB02A5">
      <w:pPr>
        <w:spacing w:after="1334" w:line="259" w:lineRule="auto"/>
        <w:ind w:left="2295" w:right="0" w:firstLine="0"/>
        <w:jc w:val="left"/>
      </w:pPr>
      <w:r>
        <w:rPr>
          <w:rFonts w:ascii="Calibri" w:eastAsia="Calibri" w:hAnsi="Calibri" w:cs="Calibri"/>
          <w:sz w:val="1"/>
        </w:rPr>
        <w:t xml:space="preserve"> </w:t>
      </w:r>
      <w:r>
        <w:rPr>
          <w:rFonts w:ascii="Calibri" w:eastAsia="Calibri" w:hAnsi="Calibri" w:cs="Calibri"/>
          <w:sz w:val="1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FD4026" w:rsidRDefault="00FB02A5">
      <w:pPr>
        <w:spacing w:after="222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222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222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222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222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283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FD4026" w:rsidRDefault="00FB02A5">
      <w:pPr>
        <w:spacing w:after="562" w:line="259" w:lineRule="auto"/>
        <w:ind w:right="21" w:firstLine="0"/>
        <w:jc w:val="center"/>
      </w:pPr>
      <w:r>
        <w:rPr>
          <w:b/>
          <w:sz w:val="32"/>
        </w:rPr>
        <w:t>ИНФОРМАЦИОННЫЙ БЮЛЛЕТЕНЬ №5</w:t>
      </w:r>
      <w:r>
        <w:rPr>
          <w:sz w:val="32"/>
        </w:rPr>
        <w:t xml:space="preserve"> </w:t>
      </w:r>
    </w:p>
    <w:p w:rsidR="00FD4026" w:rsidRDefault="00FB02A5">
      <w:pPr>
        <w:pStyle w:val="1"/>
      </w:pPr>
      <w:r>
        <w:t>«Система Меркурий в продуктовой рознице 2018</w:t>
      </w:r>
      <w:r>
        <w:rPr>
          <w:vertAlign w:val="superscript"/>
        </w:rPr>
        <w:t>i</w:t>
      </w:r>
      <w:r>
        <w:t xml:space="preserve">» </w:t>
      </w:r>
    </w:p>
    <w:p w:rsidR="00FD4026" w:rsidRDefault="00FB02A5">
      <w:pPr>
        <w:spacing w:after="224" w:line="259" w:lineRule="auto"/>
        <w:ind w:left="64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D4026" w:rsidRDefault="00FB02A5">
      <w:pPr>
        <w:spacing w:after="224" w:line="259" w:lineRule="auto"/>
        <w:ind w:left="64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D4026" w:rsidRDefault="00FB02A5">
      <w:pPr>
        <w:spacing w:after="229" w:line="259" w:lineRule="auto"/>
        <w:ind w:left="64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D4026" w:rsidRDefault="00FB02A5">
      <w:pPr>
        <w:spacing w:after="225" w:line="259" w:lineRule="auto"/>
        <w:ind w:left="64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D4026" w:rsidRDefault="00FB02A5">
      <w:pPr>
        <w:spacing w:after="133" w:line="259" w:lineRule="auto"/>
        <w:ind w:left="64" w:righ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FD4026" w:rsidRDefault="00FB02A5">
      <w:pPr>
        <w:spacing w:after="218" w:line="259" w:lineRule="auto"/>
        <w:ind w:left="4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D4026" w:rsidRDefault="00FB02A5">
      <w:pPr>
        <w:spacing w:after="218" w:line="259" w:lineRule="auto"/>
        <w:ind w:left="4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D4026" w:rsidRDefault="00FB02A5">
      <w:pPr>
        <w:spacing w:after="218" w:line="259" w:lineRule="auto"/>
        <w:ind w:left="4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D4026" w:rsidRDefault="00FB02A5">
      <w:pPr>
        <w:spacing w:after="223" w:line="259" w:lineRule="auto"/>
        <w:ind w:left="41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FD4026" w:rsidRDefault="00FB02A5">
      <w:pPr>
        <w:spacing w:after="219" w:line="259" w:lineRule="auto"/>
        <w:ind w:left="51" w:right="0" w:firstLine="0"/>
        <w:jc w:val="center"/>
      </w:pPr>
      <w:r>
        <w:t xml:space="preserve"> </w:t>
      </w:r>
    </w:p>
    <w:p w:rsidR="00FD4026" w:rsidRDefault="00FB02A5">
      <w:pPr>
        <w:spacing w:after="252" w:line="259" w:lineRule="auto"/>
        <w:ind w:left="51" w:right="0" w:firstLine="0"/>
        <w:jc w:val="center"/>
      </w:pPr>
      <w:r>
        <w:t xml:space="preserve"> </w:t>
      </w:r>
    </w:p>
    <w:p w:rsidR="00FD4026" w:rsidRDefault="00FB02A5">
      <w:pPr>
        <w:spacing w:after="0" w:line="259" w:lineRule="auto"/>
        <w:ind w:firstLine="0"/>
        <w:jc w:val="center"/>
      </w:pPr>
      <w:r>
        <w:t xml:space="preserve">г. Челябинск, 2018 г. </w:t>
      </w:r>
    </w:p>
    <w:p w:rsidR="00FD4026" w:rsidRDefault="00FB02A5">
      <w:pPr>
        <w:spacing w:after="252"/>
        <w:ind w:right="0"/>
      </w:pPr>
      <w:r>
        <w:t>Согласно ФЗ-</w:t>
      </w:r>
      <w:r>
        <w:t xml:space="preserve">243, с 1 июля 2018 года все ветеринарные сертификаты должны оформляться в электронном виде. Под действие закона попадают и производители, </w:t>
      </w:r>
      <w:r>
        <w:rPr>
          <w:b/>
        </w:rPr>
        <w:t>и</w:t>
      </w:r>
      <w:r>
        <w:t xml:space="preserve"> </w:t>
      </w:r>
      <w:r>
        <w:rPr>
          <w:b/>
        </w:rPr>
        <w:t>продавцы</w:t>
      </w:r>
      <w:r>
        <w:t xml:space="preserve"> продукции, подлежащей ветеринарному контролю. И те и другие обязаны работать с ветеринарными сертификатами.</w:t>
      </w:r>
      <w:r>
        <w:t xml:space="preserve"> </w:t>
      </w:r>
    </w:p>
    <w:p w:rsidR="00FD4026" w:rsidRDefault="00FB02A5">
      <w:pPr>
        <w:spacing w:after="318" w:line="281" w:lineRule="auto"/>
        <w:ind w:right="0" w:firstLine="711"/>
        <w:jc w:val="left"/>
      </w:pPr>
      <w:r>
        <w:rPr>
          <w:color w:val="FF0000"/>
        </w:rPr>
        <w:lastRenderedPageBreak/>
        <w:t xml:space="preserve">Внимание! До 1 июля 2018 г. магазины, торгующие товарами, подлежащими ветеринарному контролю, обязаны подключиться к Меркурию. </w:t>
      </w:r>
    </w:p>
    <w:p w:rsidR="00FD4026" w:rsidRDefault="00FB02A5">
      <w:pPr>
        <w:pStyle w:val="2"/>
      </w:pPr>
      <w:r>
        <w:t xml:space="preserve">Система Меркурий 2018: что это, для кого и сроки перехода </w:t>
      </w:r>
    </w:p>
    <w:p w:rsidR="00FD4026" w:rsidRDefault="00FB02A5">
      <w:pPr>
        <w:spacing w:after="294" w:line="259" w:lineRule="auto"/>
        <w:ind w:left="706" w:right="0" w:hanging="10"/>
        <w:jc w:val="left"/>
      </w:pPr>
      <w:r>
        <w:rPr>
          <w:b/>
        </w:rPr>
        <w:t xml:space="preserve">Что такое ФГИС “Меркурий”? </w:t>
      </w:r>
    </w:p>
    <w:p w:rsidR="00FD4026" w:rsidRDefault="00FB02A5">
      <w:pPr>
        <w:spacing w:after="301"/>
        <w:ind w:right="0"/>
      </w:pPr>
      <w:r>
        <w:t>ФГИС Меркурий — это федеральная государ</w:t>
      </w:r>
      <w:r>
        <w:t>ственная информационная система для розничной торговли по учету электронных ветеринарных сертификатов (эВСД - электронные ветеринарные сопроводительные документы) из которых состоит Государственная информационная система в сфере ветеринарии (ВетИС). “Мерку</w:t>
      </w:r>
      <w:r>
        <w:t xml:space="preserve">рий” предназначена для проведения электронной сертификации грузов, контролируемых Государственным ветеринарным надзором, а также отслеживания их перемещений на территории нашей страны. Главная цель введения новых требований – это: </w:t>
      </w:r>
    </w:p>
    <w:p w:rsidR="00FD4026" w:rsidRDefault="00FB02A5">
      <w:pPr>
        <w:spacing w:after="287" w:line="281" w:lineRule="auto"/>
        <w:ind w:left="361" w:right="2588" w:firstLine="0"/>
        <w:jc w:val="left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создание единой инфор</w:t>
      </w:r>
      <w:r>
        <w:t xml:space="preserve">мационной среды для ветеринарии,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повышение биологической безопасности,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контроль пищевой безопасности.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 xml:space="preserve">Принцип работы ФГИС “Меркурий”? </w:t>
      </w:r>
    </w:p>
    <w:p w:rsidR="00FD4026" w:rsidRDefault="00FB02A5">
      <w:pPr>
        <w:spacing w:after="221" w:line="259" w:lineRule="auto"/>
        <w:ind w:right="256" w:firstLine="0"/>
        <w:jc w:val="right"/>
      </w:pPr>
      <w:r>
        <w:rPr>
          <w:noProof/>
        </w:rPr>
        <w:drawing>
          <wp:inline distT="0" distB="0" distL="0" distR="0">
            <wp:extent cx="5715000" cy="204787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7"/>
        </w:rPr>
        <w:t xml:space="preserve"> </w:t>
      </w:r>
    </w:p>
    <w:p w:rsidR="00FD4026" w:rsidRDefault="00FB02A5">
      <w:pPr>
        <w:spacing w:after="294" w:line="259" w:lineRule="auto"/>
        <w:ind w:left="706" w:right="0" w:hanging="10"/>
        <w:jc w:val="left"/>
      </w:pPr>
      <w:r>
        <w:rPr>
          <w:b/>
        </w:rPr>
        <w:t xml:space="preserve">Какие организации обязаны подключиться к “Меркурию”? </w:t>
      </w:r>
    </w:p>
    <w:p w:rsidR="00FD4026" w:rsidRDefault="00FB02A5">
      <w:pPr>
        <w:spacing w:after="253"/>
        <w:ind w:right="0"/>
      </w:pPr>
      <w:r>
        <w:t xml:space="preserve">К ФГИС </w:t>
      </w:r>
      <w:r>
        <w:t xml:space="preserve">должны подключиться все организации, хозяйственная деятельность которых связана с оборотом товаров животного происхождения. К таким компаниям относятся предприятия — фермы, молочные заводы, птицефабрики, мясокомбинаты, производители морепродуктов. </w:t>
      </w:r>
    </w:p>
    <w:p w:rsidR="00FD4026" w:rsidRDefault="00FB02A5">
      <w:pPr>
        <w:ind w:right="0"/>
      </w:pPr>
      <w:r>
        <w:t>Логисти</w:t>
      </w:r>
      <w:r>
        <w:t>ческие центры, оптовые базы, торговые сети и розничные магазины, точки общественного питания также должны вести учет электронных ВСД через ФГИС. Иными словами, по новым требованиям обязаны работать все, кто по роду своей деятельности связан с подконтрольны</w:t>
      </w:r>
      <w:r>
        <w:t xml:space="preserve">ми товарами животного происхождения.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 xml:space="preserve">Каковы сроки перехода на работу с “Меркурием”? </w:t>
      </w:r>
    </w:p>
    <w:p w:rsidR="00FD4026" w:rsidRDefault="00FB02A5">
      <w:pPr>
        <w:spacing w:after="311"/>
        <w:ind w:right="0"/>
      </w:pPr>
      <w:r>
        <w:t xml:space="preserve">Сроки подключения к системе прописаны в ФЗ от 13.07.2015 № 243 “О внесении изменений в Закон РФ “О ветеринарии”. Согласно федеральному закону все ВСД должны </w:t>
      </w:r>
      <w:r>
        <w:lastRenderedPageBreak/>
        <w:t>оформляться в</w:t>
      </w:r>
      <w:r>
        <w:t xml:space="preserve"> электронном виде с помощью системы “Меркурий” начиная с 1 июля 2018 года.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 xml:space="preserve">Могут ли перенести сроки перехода на "Меркурий"? </w:t>
      </w:r>
    </w:p>
    <w:p w:rsidR="00FD4026" w:rsidRDefault="00FB02A5">
      <w:pPr>
        <w:spacing w:after="477"/>
        <w:ind w:right="0"/>
      </w:pPr>
      <w:r>
        <w:t>Переход на работу с системой “Меркурий” уже переносили на полгода, с 1 января 2018 до 1 июля 2018 года. Но рассчитывать на дальней</w:t>
      </w:r>
      <w:r>
        <w:t xml:space="preserve">шую отсрочку вступления в силу новых требований мы не рекомендуем. Вместо этого советуем заранее подготовиться к новым стандартам работы и продумать, как организовать этот процесс с наименьшими трудозатратами со стороны ваших сотрудников. </w:t>
      </w:r>
    </w:p>
    <w:p w:rsidR="00FD4026" w:rsidRDefault="00FB02A5">
      <w:pPr>
        <w:pStyle w:val="2"/>
        <w:ind w:right="19"/>
      </w:pPr>
      <w:r>
        <w:t>Как подключиться</w:t>
      </w:r>
      <w:r>
        <w:t xml:space="preserve"> к ФГИС Меркурий: ВетИС.API </w:t>
      </w:r>
    </w:p>
    <w:p w:rsidR="00FD4026" w:rsidRDefault="00FB02A5">
      <w:pPr>
        <w:spacing w:after="299" w:line="259" w:lineRule="auto"/>
        <w:ind w:left="706" w:right="0" w:hanging="10"/>
        <w:jc w:val="left"/>
      </w:pPr>
      <w:r>
        <w:rPr>
          <w:b/>
        </w:rPr>
        <w:t xml:space="preserve">Что нужно, чтобы подключиться к “Меркурию”? </w:t>
      </w:r>
    </w:p>
    <w:p w:rsidR="00FD4026" w:rsidRDefault="00FB02A5">
      <w:pPr>
        <w:spacing w:after="306"/>
        <w:ind w:left="711" w:right="0" w:firstLine="0"/>
      </w:pPr>
      <w:r>
        <w:t xml:space="preserve">В целом процедура подключения к “Меркурию” достаточно проста. </w:t>
      </w:r>
    </w:p>
    <w:p w:rsidR="00FD4026" w:rsidRDefault="00FB02A5">
      <w:pPr>
        <w:spacing w:after="271"/>
        <w:ind w:left="711" w:right="0" w:firstLine="0"/>
      </w:pPr>
      <w:r>
        <w:t xml:space="preserve">Для регистрации в системе необходимо: </w:t>
      </w:r>
    </w:p>
    <w:p w:rsidR="00FD4026" w:rsidRDefault="00FB02A5">
      <w:pPr>
        <w:numPr>
          <w:ilvl w:val="0"/>
          <w:numId w:val="1"/>
        </w:numPr>
        <w:ind w:right="0" w:hanging="360"/>
      </w:pPr>
      <w:r>
        <w:t>заполнить бланк заявления. Шаблон опубликован на официальном сайте Россельхознад</w:t>
      </w:r>
      <w:r>
        <w:t xml:space="preserve">зора. </w:t>
      </w:r>
    </w:p>
    <w:p w:rsidR="00FD4026" w:rsidRDefault="00FB02A5">
      <w:pPr>
        <w:numPr>
          <w:ilvl w:val="0"/>
          <w:numId w:val="1"/>
        </w:numPr>
        <w:ind w:right="0" w:hanging="360"/>
      </w:pPr>
      <w:r>
        <w:t>выбрать подходящий вам вариант подачи заявления – бумажной версии, при посещении любого территориального управления Россельхознадзора, или электронного варианта, отправленного по email. Заявления, направленные по электронной почте, должны быть завер</w:t>
      </w:r>
      <w:r>
        <w:t xml:space="preserve">ены электронной подписью. Индивидуальные предприниматели могут использовать простую электронную подпись, а ООО - усиленную квалифицированную электронную подпись (КЭП); </w:t>
      </w:r>
    </w:p>
    <w:p w:rsidR="00FD4026" w:rsidRDefault="00FB02A5">
      <w:pPr>
        <w:numPr>
          <w:ilvl w:val="0"/>
          <w:numId w:val="1"/>
        </w:numPr>
        <w:ind w:right="0" w:hanging="360"/>
      </w:pPr>
      <w:r>
        <w:t xml:space="preserve">направить заявление в Россельхознадзор; </w:t>
      </w:r>
    </w:p>
    <w:p w:rsidR="00FD4026" w:rsidRDefault="00FB02A5">
      <w:pPr>
        <w:numPr>
          <w:ilvl w:val="0"/>
          <w:numId w:val="1"/>
        </w:numPr>
        <w:spacing w:after="248"/>
        <w:ind w:right="0" w:hanging="360"/>
      </w:pPr>
      <w:r>
        <w:t>выбрать наиболее удобную вашей компании форму работы с системой –  через браузер или API-интерфейс (ВетИС.API). Второй вариант предусматривает использование специализированных решений, которые обеспечивают удобную работу других учетных систем вашей компани</w:t>
      </w:r>
      <w:r>
        <w:t xml:space="preserve">и вместе с Меркурием. </w:t>
      </w:r>
    </w:p>
    <w:p w:rsidR="00FD4026" w:rsidRDefault="00FB02A5">
      <w:pPr>
        <w:spacing w:after="255"/>
        <w:ind w:right="0"/>
      </w:pPr>
      <w:r>
        <w:t>После подключения к системе “Меркурий” мы рекомендуем обратить внимание на объемы и сложность работы вашего персонала при взаимодействии с ФГИС. На этом этапе важно снизить трудоёмкость взаимодействия с системой, чтобы появление новых требований никак не в</w:t>
      </w:r>
      <w:r>
        <w:t xml:space="preserve">лияло на отлаженные ранее бизнес-процессы. </w:t>
      </w:r>
    </w:p>
    <w:p w:rsidR="00FD4026" w:rsidRDefault="00FB02A5">
      <w:pPr>
        <w:ind w:right="0"/>
      </w:pPr>
      <w:r>
        <w:t>Сегодня на рынке есть достаточный выбор предложений по интеграции ГИС с уже используемыми в вашей компании системами. Так решение Columbus по интеграции системы “Меркурий” с 1С позволяет настроить работу с эВСД в</w:t>
      </w:r>
      <w:r>
        <w:t xml:space="preserve"> рамках принятых регулятором стандартов, повысить качество учета подконтрольной продукции и автоматизировать всю цепочку товародвижения с минимальными трудозатратами со стороны персонала.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 xml:space="preserve">Для какой продукции нужно оформлять электронные ВСД? </w:t>
      </w:r>
    </w:p>
    <w:p w:rsidR="00FD4026" w:rsidRDefault="00FB02A5">
      <w:pPr>
        <w:spacing w:after="303"/>
        <w:ind w:right="0"/>
      </w:pPr>
      <w:r>
        <w:lastRenderedPageBreak/>
        <w:t>Общий перечен</w:t>
      </w:r>
      <w:r>
        <w:t xml:space="preserve">ь продукции, требующей оформления ВСД, приведен в Приказе Минсельхоза России № 648 от 18.12.2015 г. Из этого документа следует, что в системе “Меркурий” должны учитываться все товары, подлежащие ветеринарному контролю. </w:t>
      </w:r>
    </w:p>
    <w:p w:rsidR="00FD4026" w:rsidRDefault="00FB02A5">
      <w:pPr>
        <w:spacing w:after="299" w:line="259" w:lineRule="auto"/>
        <w:ind w:left="711" w:right="0" w:firstLine="0"/>
        <w:jc w:val="left"/>
      </w:pPr>
      <w:r>
        <w:rPr>
          <w:u w:val="single" w:color="000000"/>
        </w:rPr>
        <w:t>Перечень продукции, требующей оформл</w:t>
      </w:r>
      <w:r>
        <w:rPr>
          <w:u w:val="single" w:color="000000"/>
        </w:rPr>
        <w:t>ения ВСД:</w:t>
      </w:r>
      <w:r>
        <w:t xml:space="preserve">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мясо, субпродукты и жиры;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колбасы, готовые и консервированные продукты из мяса;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рыба в любых видах, в том числе консервированная;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ракообразные, моллюски, водные беспозвоночные;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яйца птиц;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все виды молочных продуктов;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>творог и сыры, включая</w:t>
      </w:r>
      <w:r>
        <w:t xml:space="preserve"> плавленые сыры;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сливочное масло и прочие жиры и масла, изготовленные из молока, молочные пасты;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макаронные изделия с начинкой из мяса, колбасы, рыбы или морепродуктов;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дрожжи неактивные;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>супы и бульоны, а также заготовки для приготовления супов и буль</w:t>
      </w:r>
      <w:r>
        <w:t xml:space="preserve">онов;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мороженое, кроме мороженого на плодово-ягодной основе, фруктового и пищевого льда;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фуражное зерно: пшеница твердая и мягкая, рожь, ячмень, овес, кукуруза;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мед натуральный;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прополис, воск пчелиный и воски других насекомых, спермацет; </w:t>
      </w:r>
    </w:p>
    <w:p w:rsidR="00FD4026" w:rsidRDefault="00FB02A5">
      <w:pPr>
        <w:numPr>
          <w:ilvl w:val="0"/>
          <w:numId w:val="2"/>
        </w:numPr>
        <w:ind w:right="0" w:hanging="360"/>
      </w:pPr>
      <w:r>
        <w:t xml:space="preserve">комбикорм; </w:t>
      </w:r>
    </w:p>
    <w:p w:rsidR="00FD4026" w:rsidRDefault="00FB02A5">
      <w:pPr>
        <w:numPr>
          <w:ilvl w:val="0"/>
          <w:numId w:val="2"/>
        </w:numPr>
        <w:spacing w:after="246"/>
        <w:ind w:right="0" w:hanging="360"/>
      </w:pPr>
      <w:r>
        <w:t xml:space="preserve">удобрения растительного и животного происхождения;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чучела, необработанные шкуры, охотничьи трофеи. </w:t>
      </w:r>
    </w:p>
    <w:p w:rsidR="00FD4026" w:rsidRDefault="00FB02A5">
      <w:pPr>
        <w:spacing w:after="347"/>
        <w:ind w:right="0"/>
      </w:pPr>
      <w:r>
        <w:t>Таким образом, мы видим, что перечень подконтрольных продуктов охватывает, практически, все группы продовольственных товаров. Это, в свою очередь, означае</w:t>
      </w:r>
      <w:r>
        <w:t xml:space="preserve">т, что количество компаний, работающих с “Меркурием”, будет неуклонно расти. </w:t>
      </w:r>
    </w:p>
    <w:p w:rsidR="00FD4026" w:rsidRDefault="00FB02A5">
      <w:pPr>
        <w:pStyle w:val="2"/>
        <w:ind w:right="16"/>
      </w:pPr>
      <w:r>
        <w:t xml:space="preserve">Ветеринарные сертификаты в розничной торговле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 xml:space="preserve">Зачем “Меркурий” розничным магазинам? </w:t>
      </w:r>
    </w:p>
    <w:p w:rsidR="00FD4026" w:rsidRDefault="00FB02A5">
      <w:pPr>
        <w:spacing w:after="249"/>
        <w:ind w:right="0"/>
      </w:pPr>
      <w:r>
        <w:t>C электронными ВСД можно выполнять следующие операции: только формировать, только “гасить” и</w:t>
      </w:r>
      <w:r>
        <w:t xml:space="preserve">ли и формировать, и “гасить”. ВСД при этом могут быть производственного или транспортного типа. </w:t>
      </w:r>
    </w:p>
    <w:p w:rsidR="00FD4026" w:rsidRDefault="00FB02A5">
      <w:pPr>
        <w:spacing w:after="315"/>
        <w:ind w:right="0"/>
      </w:pPr>
      <w:r>
        <w:t>Что касается розничных компаний, то магазины обязаны работать с входящими ВСД. То есть вашей задачей будет “погашение” входящих сертификатов на каждую транспор</w:t>
      </w:r>
      <w:r>
        <w:t xml:space="preserve">тную партию. </w:t>
      </w:r>
    </w:p>
    <w:p w:rsidR="00FD4026" w:rsidRDefault="00FB02A5">
      <w:pPr>
        <w:spacing w:after="247" w:line="259" w:lineRule="auto"/>
        <w:ind w:right="72" w:firstLine="0"/>
        <w:jc w:val="center"/>
      </w:pPr>
      <w:r>
        <w:rPr>
          <w:b/>
        </w:rPr>
        <w:t xml:space="preserve">На что обращать внимание при получении продукции от поставщиков? </w:t>
      </w:r>
    </w:p>
    <w:p w:rsidR="00FD4026" w:rsidRDefault="00FB02A5">
      <w:pPr>
        <w:spacing w:after="297"/>
        <w:ind w:right="0"/>
      </w:pPr>
      <w:r>
        <w:t xml:space="preserve">Если вы приняли товар частично, то эти расхождения нужно обязательно указывать при погашении – возвратный ВСД при этом будет оформлен автоматически. </w:t>
      </w:r>
    </w:p>
    <w:p w:rsidR="00FD4026" w:rsidRDefault="00FB02A5">
      <w:pPr>
        <w:ind w:right="0"/>
      </w:pPr>
      <w:r>
        <w:lastRenderedPageBreak/>
        <w:t>Еще один важный момент - о</w:t>
      </w:r>
      <w:r>
        <w:t xml:space="preserve">перации с ВСД должны быть проведены в течение 1 рабочего дня после получения партии. Давайте представим, что вам привезли груз, на который не оформлен ВСД в системе “Меркурий”. </w:t>
      </w:r>
    </w:p>
    <w:p w:rsidR="00FD4026" w:rsidRDefault="00FB02A5">
      <w:pPr>
        <w:spacing w:after="294"/>
        <w:ind w:right="0"/>
      </w:pPr>
      <w:r>
        <w:t xml:space="preserve">Единственно правильным действием с вашей стороны в этом случае будет отказ от </w:t>
      </w:r>
      <w:r>
        <w:t xml:space="preserve">принятия груза. Исключением здесь являются только поставки, принимаемые по бумажным ВСД. В этом случае от вас требуется погасить бумажный ВСД и оприходовать остатки инвентаризацией. </w:t>
      </w:r>
    </w:p>
    <w:p w:rsidR="00FD4026" w:rsidRDefault="00FB02A5">
      <w:pPr>
        <w:shd w:val="clear" w:color="auto" w:fill="4A4A4A"/>
        <w:spacing w:after="204" w:line="269" w:lineRule="auto"/>
        <w:ind w:left="10" w:right="0" w:hanging="10"/>
        <w:jc w:val="center"/>
      </w:pPr>
      <w:r>
        <w:rPr>
          <w:color w:val="FFFFFF"/>
          <w:sz w:val="28"/>
        </w:rPr>
        <w:t xml:space="preserve">Что делать если нет доступа в Интернет? Какие штрафы за отсутствие Меркурия? </w:t>
      </w:r>
    </w:p>
    <w:p w:rsidR="00FD4026" w:rsidRDefault="00FB02A5">
      <w:pPr>
        <w:spacing w:after="285" w:line="259" w:lineRule="auto"/>
        <w:ind w:right="0" w:firstLine="711"/>
        <w:jc w:val="left"/>
      </w:pPr>
      <w:r>
        <w:rPr>
          <w:b/>
        </w:rPr>
        <w:t xml:space="preserve">Можно ли продолжить работу с бумажными ВСД, если у нас нет доступа в Интернет? </w:t>
      </w:r>
    </w:p>
    <w:p w:rsidR="00FD4026" w:rsidRDefault="00FB02A5">
      <w:pPr>
        <w:spacing w:after="256"/>
        <w:ind w:right="0"/>
      </w:pPr>
      <w:r>
        <w:t>Если у вас нет технических ограничений для подключения к сети интернет, то вы не можете использова</w:t>
      </w:r>
      <w:r>
        <w:t>ть бумажные ВСД. Перечень мест, где нет доступа к сети интернет, утверждается на уровне каждого субъекта РФ. Если таких ограничений нет, то до 1 июля 2018 года вам необходимо обеспечить подключение к сети и начать работу в системе для розничной торговли “М</w:t>
      </w:r>
      <w:r>
        <w:t xml:space="preserve">еркурий”. </w:t>
      </w:r>
    </w:p>
    <w:p w:rsidR="00FD4026" w:rsidRDefault="00FB02A5">
      <w:pPr>
        <w:spacing w:after="249"/>
        <w:ind w:right="0"/>
      </w:pPr>
      <w:r>
        <w:t>Если вы категорически не хотите подключаться к сети Интернет, то единственный возможный вариант соответствия требованиям регулятора в данном случае – предоставить доступ к системе вашему поставщику или сторонней организации, которые будут “уполн</w:t>
      </w:r>
      <w:r>
        <w:t xml:space="preserve">омочены” работать с системой “от лица вашей компании”. </w:t>
      </w:r>
    </w:p>
    <w:p w:rsidR="00FD4026" w:rsidRDefault="00FB02A5">
      <w:pPr>
        <w:spacing w:after="311"/>
        <w:ind w:right="0"/>
      </w:pPr>
      <w:r>
        <w:t xml:space="preserve">Организации, не имеющие технической возможности подключения к интернету, например, магазины в сельской местности в некоторых регионах страны, могут продолжить работу с бумажными ВСД. </w:t>
      </w:r>
    </w:p>
    <w:p w:rsidR="00FD4026" w:rsidRDefault="00FB02A5">
      <w:pPr>
        <w:spacing w:after="247" w:line="259" w:lineRule="auto"/>
        <w:ind w:left="706" w:right="0" w:hanging="10"/>
        <w:jc w:val="left"/>
      </w:pPr>
      <w:r>
        <w:rPr>
          <w:b/>
        </w:rPr>
        <w:t>Какие штрафы жду</w:t>
      </w:r>
      <w:r>
        <w:rPr>
          <w:b/>
        </w:rPr>
        <w:t xml:space="preserve">т предпринимателя за отсутвие "Меркурия"? </w:t>
      </w:r>
    </w:p>
    <w:p w:rsidR="00FD4026" w:rsidRDefault="00FB02A5">
      <w:pPr>
        <w:spacing w:after="246"/>
        <w:ind w:right="0"/>
      </w:pPr>
      <w:r>
        <w:t>Статья 10.8 КоАП предусматривает штраф за несоблюдение требований Федерального закона от 13.07.2015 № 243 — за отсутствие ВСД следует штраф. Мера ответственности может составлять от 3 000 р. до 10 000-20 000 р., п</w:t>
      </w:r>
      <w:r>
        <w:t xml:space="preserve">ри этом размер штрафа зависит от того, на кого он выписан: на юридическое или должностное лицо. </w:t>
      </w:r>
    </w:p>
    <w:p w:rsidR="00FD4026" w:rsidRDefault="00FB02A5">
      <w:pPr>
        <w:spacing w:after="294"/>
        <w:ind w:right="0"/>
      </w:pPr>
      <w:r>
        <w:t>Юридическим лицам, не выполнившим требования регулятора, может также грозить приостановление деятельности на 90 дней. В настоящее время существует ряд законода</w:t>
      </w:r>
      <w:r>
        <w:t xml:space="preserve">тельных инициатив, предлагающих изменения мер ответственности за несоблюдение требований. </w:t>
      </w:r>
    </w:p>
    <w:p w:rsidR="00FD4026" w:rsidRDefault="00FB02A5">
      <w:pPr>
        <w:spacing w:after="223" w:line="259" w:lineRule="auto"/>
        <w:ind w:left="711" w:right="0" w:firstLine="0"/>
        <w:jc w:val="left"/>
      </w:pPr>
      <w:r>
        <w:rPr>
          <w:sz w:val="28"/>
        </w:rPr>
        <w:t xml:space="preserve"> </w:t>
      </w:r>
    </w:p>
    <w:p w:rsidR="00FD4026" w:rsidRDefault="00FB02A5">
      <w:pPr>
        <w:spacing w:after="218" w:line="259" w:lineRule="auto"/>
        <w:ind w:left="711" w:right="0" w:firstLine="0"/>
        <w:jc w:val="left"/>
      </w:pPr>
      <w:r>
        <w:rPr>
          <w:sz w:val="28"/>
        </w:rPr>
        <w:t xml:space="preserve"> </w:t>
      </w:r>
    </w:p>
    <w:p w:rsidR="00FD4026" w:rsidRDefault="00FB02A5">
      <w:pPr>
        <w:spacing w:after="180" w:line="259" w:lineRule="auto"/>
        <w:ind w:left="711" w:right="0" w:firstLine="0"/>
        <w:jc w:val="left"/>
      </w:pPr>
      <w:r>
        <w:rPr>
          <w:sz w:val="28"/>
        </w:rPr>
        <w:t xml:space="preserve"> </w:t>
      </w:r>
    </w:p>
    <w:p w:rsidR="00FD4026" w:rsidRDefault="00FB02A5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FD4026" w:rsidRDefault="00FB02A5">
      <w:pPr>
        <w:spacing w:after="0" w:line="250" w:lineRule="auto"/>
        <w:ind w:right="0" w:firstLine="0"/>
        <w:jc w:val="left"/>
      </w:pPr>
      <w:r>
        <w:rPr>
          <w:rFonts w:ascii="Calibri" w:eastAsia="Calibri" w:hAnsi="Calibri" w:cs="Calibri"/>
          <w:sz w:val="20"/>
          <w:vertAlign w:val="superscript"/>
        </w:rPr>
        <w:t>i</w:t>
      </w:r>
      <w:r>
        <w:rPr>
          <w:rFonts w:ascii="Calibri" w:eastAsia="Calibri" w:hAnsi="Calibri" w:cs="Calibri"/>
          <w:sz w:val="20"/>
        </w:rPr>
        <w:t xml:space="preserve"> По материалам Интернет-</w:t>
      </w:r>
      <w:r>
        <w:rPr>
          <w:rFonts w:ascii="Calibri" w:eastAsia="Calibri" w:hAnsi="Calibri" w:cs="Calibri"/>
          <w:sz w:val="20"/>
        </w:rPr>
        <w:t>журнала об аналитике и практике торговли и взаимоотношениях с клиентами «Бизнес</w:t>
      </w:r>
      <w:r>
        <w:rPr>
          <w:rFonts w:ascii="Calibri" w:eastAsia="Calibri" w:hAnsi="Calibri" w:cs="Calibri"/>
          <w:sz w:val="20"/>
          <w:vertAlign w:val="superscript"/>
        </w:rPr>
        <w:t>.Ру</w:t>
      </w:r>
      <w:r>
        <w:rPr>
          <w:rFonts w:ascii="Calibri" w:eastAsia="Calibri" w:hAnsi="Calibri" w:cs="Calibri"/>
          <w:sz w:val="20"/>
        </w:rPr>
        <w:t xml:space="preserve">». </w:t>
      </w:r>
    </w:p>
    <w:sectPr w:rsidR="00FD4026">
      <w:footerReference w:type="even" r:id="rId13"/>
      <w:footerReference w:type="default" r:id="rId14"/>
      <w:footerReference w:type="first" r:id="rId15"/>
      <w:pgSz w:w="11904" w:h="16838"/>
      <w:pgMar w:top="1180" w:right="841" w:bottom="1264" w:left="170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A5" w:rsidRDefault="00FB02A5">
      <w:pPr>
        <w:spacing w:after="0" w:line="240" w:lineRule="auto"/>
      </w:pPr>
      <w:r>
        <w:separator/>
      </w:r>
    </w:p>
  </w:endnote>
  <w:endnote w:type="continuationSeparator" w:id="0">
    <w:p w:rsidR="00FB02A5" w:rsidRDefault="00FB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6" w:rsidRDefault="00FB02A5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D4026" w:rsidRDefault="00FB02A5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6" w:rsidRDefault="00FB02A5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B84">
      <w:rPr>
        <w:noProof/>
      </w:rPr>
      <w:t>1</w:t>
    </w:r>
    <w:r>
      <w:fldChar w:fldCharType="end"/>
    </w:r>
    <w:r>
      <w:t xml:space="preserve"> </w:t>
    </w:r>
  </w:p>
  <w:p w:rsidR="00FD4026" w:rsidRDefault="00FB02A5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26" w:rsidRDefault="00FB02A5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D4026" w:rsidRDefault="00FB02A5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A5" w:rsidRDefault="00FB02A5">
      <w:pPr>
        <w:spacing w:after="0" w:line="240" w:lineRule="auto"/>
      </w:pPr>
      <w:r>
        <w:separator/>
      </w:r>
    </w:p>
  </w:footnote>
  <w:footnote w:type="continuationSeparator" w:id="0">
    <w:p w:rsidR="00FB02A5" w:rsidRDefault="00FB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1103"/>
    <w:multiLevelType w:val="hybridMultilevel"/>
    <w:tmpl w:val="A634AB04"/>
    <w:lvl w:ilvl="0" w:tplc="3E2456C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AFA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2CE4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0809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A557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3AB0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0FF0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6DE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04FC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07D41"/>
    <w:multiLevelType w:val="hybridMultilevel"/>
    <w:tmpl w:val="DB84F408"/>
    <w:lvl w:ilvl="0" w:tplc="6DC8F5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C51D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6E58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437F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85A9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260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14F0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433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2770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26"/>
    <w:rsid w:val="00DD6B84"/>
    <w:rsid w:val="00FB02A5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63882-F717-4958-86E3-A51E5C4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7" w:lineRule="auto"/>
      <w:ind w:right="6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left="9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4A4A4A"/>
      <w:spacing w:after="265" w:line="269" w:lineRule="auto"/>
      <w:ind w:left="10" w:right="17" w:hanging="10"/>
      <w:jc w:val="center"/>
      <w:outlineLvl w:val="1"/>
    </w:pPr>
    <w:rPr>
      <w:rFonts w:ascii="Times New Roman" w:eastAsia="Times New Roman" w:hAnsi="Times New Roman" w:cs="Times New Roman"/>
      <w:color w:val="FFFF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uar.&#1075;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uar.&#1075;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vuar.&#1075;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uar.&#1075;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Сумзина</dc:creator>
  <cp:keywords/>
  <cp:lastModifiedBy>Максим Стасевич</cp:lastModifiedBy>
  <cp:revision>2</cp:revision>
  <dcterms:created xsi:type="dcterms:W3CDTF">2018-05-29T04:03:00Z</dcterms:created>
  <dcterms:modified xsi:type="dcterms:W3CDTF">2018-05-29T04:03:00Z</dcterms:modified>
</cp:coreProperties>
</file>